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77"/>
      </w:tblGrid>
      <w:tr w:rsidR="004A3D77" w14:paraId="59242176" w14:textId="77777777" w:rsidTr="006A6664">
        <w:trPr>
          <w:cantSplit/>
        </w:trPr>
        <w:tc>
          <w:tcPr>
            <w:tcW w:w="11377" w:type="dxa"/>
          </w:tcPr>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35"/>
              <w:gridCol w:w="3960"/>
            </w:tblGrid>
            <w:tr w:rsidR="008C19D4" w14:paraId="4CE0F229" w14:textId="1C4789D1" w:rsidTr="00B877E0">
              <w:trPr>
                <w:trHeight w:val="6020"/>
              </w:trPr>
              <w:tc>
                <w:tcPr>
                  <w:tcW w:w="6835" w:type="dxa"/>
                </w:tcPr>
                <w:p w14:paraId="7BAD7DBC" w14:textId="5018F5E4" w:rsidR="008C19D4" w:rsidRDefault="008C19D4" w:rsidP="00494800">
                  <w:pPr>
                    <w:pStyle w:val="Heading2"/>
                    <w:outlineLvl w:val="1"/>
                  </w:pPr>
                  <w:r>
                    <w:rPr>
                      <w:noProof/>
                    </w:rPr>
                    <w:drawing>
                      <wp:anchor distT="0" distB="0" distL="114300" distR="114300" simplePos="0" relativeHeight="251664384" behindDoc="1" locked="0" layoutInCell="1" allowOverlap="1" wp14:anchorId="64663D51" wp14:editId="6A57A565">
                        <wp:simplePos x="0" y="0"/>
                        <wp:positionH relativeFrom="column">
                          <wp:posOffset>1270</wp:posOffset>
                        </wp:positionH>
                        <wp:positionV relativeFrom="paragraph">
                          <wp:posOffset>1270</wp:posOffset>
                        </wp:positionV>
                        <wp:extent cx="4168140" cy="1115695"/>
                        <wp:effectExtent l="0" t="0" r="3810" b="8255"/>
                        <wp:wrapTopAndBottom/>
                        <wp:docPr id="24" name="Picture 2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168140" cy="1115695"/>
                                </a:xfrm>
                                <a:prstGeom prst="rect">
                                  <a:avLst/>
                                </a:prstGeom>
                              </pic:spPr>
                            </pic:pic>
                          </a:graphicData>
                        </a:graphic>
                        <wp14:sizeRelH relativeFrom="page">
                          <wp14:pctWidth>0</wp14:pctWidth>
                        </wp14:sizeRelH>
                        <wp14:sizeRelV relativeFrom="page">
                          <wp14:pctHeight>0</wp14:pctHeight>
                        </wp14:sizeRelV>
                      </wp:anchor>
                    </w:drawing>
                  </w:r>
                  <w:r>
                    <w:t>Number 2</w:t>
                  </w:r>
                  <w:r w:rsidR="00D47830">
                    <w:t>8</w:t>
                  </w:r>
                  <w:r w:rsidR="0007781B">
                    <w:t>9</w:t>
                  </w:r>
                </w:p>
                <w:p w14:paraId="555BEFCB" w14:textId="737C5803" w:rsidR="009125F9" w:rsidRDefault="0007781B" w:rsidP="00494800">
                  <w:pPr>
                    <w:pStyle w:val="Heading2"/>
                    <w:outlineLvl w:val="1"/>
                    <w:rPr>
                      <w:rFonts w:eastAsiaTheme="minorHAnsi" w:cstheme="minorBidi"/>
                      <w:color w:val="auto"/>
                      <w:szCs w:val="22"/>
                    </w:rPr>
                  </w:pPr>
                  <w:r>
                    <w:rPr>
                      <w:rFonts w:eastAsiaTheme="minorHAnsi" w:cstheme="minorBidi"/>
                      <w:color w:val="auto"/>
                      <w:szCs w:val="22"/>
                    </w:rPr>
                    <w:t>Innovation in Retail Banking Beyond the Pandemic</w:t>
                  </w:r>
                </w:p>
                <w:p w14:paraId="0565ABFC" w14:textId="38D4C37A" w:rsidR="008C19D4" w:rsidRPr="002A36B4" w:rsidRDefault="008C19D4" w:rsidP="00494800">
                  <w:pPr>
                    <w:pStyle w:val="Heading2"/>
                    <w:outlineLvl w:val="1"/>
                  </w:pPr>
                  <w:r w:rsidRPr="002A36B4">
                    <w:t>Editor/Publisher</w:t>
                  </w:r>
                </w:p>
                <w:p w14:paraId="28838491" w14:textId="77777777" w:rsidR="008C19D4" w:rsidRDefault="004E1B0B" w:rsidP="008C19D4">
                  <w:pPr>
                    <w:pStyle w:val="Data"/>
                  </w:pPr>
                  <w:hyperlink r:id="rId6" w:history="1">
                    <w:r w:rsidR="008C19D4" w:rsidRPr="002A36B4">
                      <w:rPr>
                        <w:rStyle w:val="Hyperlink"/>
                      </w:rPr>
                      <w:t>Jim Marous</w:t>
                    </w:r>
                  </w:hyperlink>
                  <w:r w:rsidR="008C19D4">
                    <w:t>, DBR Media, LLC</w:t>
                  </w:r>
                </w:p>
                <w:p w14:paraId="588173FC" w14:textId="77777777" w:rsidR="008C19D4" w:rsidRDefault="008C19D4" w:rsidP="00494800">
                  <w:pPr>
                    <w:pStyle w:val="Heading2"/>
                    <w:outlineLvl w:val="1"/>
                  </w:pPr>
                  <w:r>
                    <w:t>Issue</w:t>
                  </w:r>
                </w:p>
                <w:p w14:paraId="794B650F" w14:textId="154230D3" w:rsidR="008C19D4" w:rsidRDefault="0007781B" w:rsidP="008C19D4">
                  <w:pPr>
                    <w:pStyle w:val="Data"/>
                  </w:pPr>
                  <w:r>
                    <w:t>December</w:t>
                  </w:r>
                  <w:r w:rsidR="008C19D4">
                    <w:t xml:space="preserve"> 2021 — DBR 2</w:t>
                  </w:r>
                  <w:r w:rsidR="00D47830">
                    <w:t>8</w:t>
                  </w:r>
                  <w:r>
                    <w:t>9</w:t>
                  </w:r>
                </w:p>
                <w:p w14:paraId="5C70DA79" w14:textId="53E8E622" w:rsidR="008C19D4" w:rsidRDefault="008C19D4" w:rsidP="008C19D4">
                  <w:pPr>
                    <w:pStyle w:val="Data"/>
                  </w:pPr>
                  <w:r>
                    <w:t xml:space="preserve">Cost: Individual Report: </w:t>
                  </w:r>
                  <w:r w:rsidR="00F86F7A">
                    <w:t>$495</w:t>
                  </w:r>
                  <w:r>
                    <w:t>; Enterprise-wide License: $1</w:t>
                  </w:r>
                  <w:r w:rsidR="00F86F7A">
                    <w:t>995</w:t>
                  </w:r>
                </w:p>
                <w:p w14:paraId="707A2EB1" w14:textId="77777777" w:rsidR="008C19D4" w:rsidRDefault="008C19D4" w:rsidP="008C19D4">
                  <w:pPr>
                    <w:pStyle w:val="Data"/>
                  </w:pPr>
                  <w:r>
                    <w:t>Part of subscription</w:t>
                  </w:r>
                </w:p>
                <w:p w14:paraId="1A5E3B3B" w14:textId="77777777" w:rsidR="008C19D4" w:rsidRDefault="008C19D4" w:rsidP="00494800">
                  <w:pPr>
                    <w:pStyle w:val="Heading2"/>
                    <w:outlineLvl w:val="1"/>
                  </w:pPr>
                  <w:r>
                    <w:t>Size</w:t>
                  </w:r>
                </w:p>
                <w:p w14:paraId="2C1314E3" w14:textId="7439FE74" w:rsidR="008C19D4" w:rsidRDefault="0007781B" w:rsidP="008C19D4">
                  <w:pPr>
                    <w:pStyle w:val="Data"/>
                  </w:pPr>
                  <w:r>
                    <w:t>8</w:t>
                  </w:r>
                  <w:r w:rsidR="00894722">
                    <w:t>1</w:t>
                  </w:r>
                  <w:r w:rsidR="008C19D4">
                    <w:t xml:space="preserve"> pages, </w:t>
                  </w:r>
                  <w:r w:rsidR="00F86F7A">
                    <w:t>2</w:t>
                  </w:r>
                  <w:r>
                    <w:t>9</w:t>
                  </w:r>
                  <w:r w:rsidR="008C19D4">
                    <w:t xml:space="preserve"> tables/charts</w:t>
                  </w:r>
                </w:p>
                <w:p w14:paraId="731502C2" w14:textId="77777777" w:rsidR="008C19D4" w:rsidRDefault="008C19D4" w:rsidP="000E5F7C">
                  <w:pPr>
                    <w:pStyle w:val="Heading2"/>
                    <w:outlineLvl w:val="1"/>
                  </w:pPr>
                  <w:r w:rsidRPr="00601F4A">
                    <w:t>Ordering</w:t>
                  </w:r>
                </w:p>
                <w:p w14:paraId="5DE6EDEB" w14:textId="126C81C3" w:rsidR="008C19D4" w:rsidRDefault="008C19D4" w:rsidP="008C19D4">
                  <w:pPr>
                    <w:pStyle w:val="Data"/>
                  </w:pPr>
                  <w:r>
                    <w:t xml:space="preserve">Online at </w:t>
                  </w:r>
                  <w:hyperlink r:id="rId7" w:history="1">
                    <w:r w:rsidR="0007781B">
                      <w:rPr>
                        <w:rStyle w:val="Hyperlink"/>
                      </w:rPr>
                      <w:t>https://www.digitalbankingreport.com/dbr/dbr289</w:t>
                    </w:r>
                  </w:hyperlink>
                </w:p>
                <w:p w14:paraId="7F4247CE" w14:textId="77777777" w:rsidR="008C19D4" w:rsidRDefault="008C19D4" w:rsidP="008C19D4">
                  <w:pPr>
                    <w:pStyle w:val="Data"/>
                  </w:pPr>
                  <w:r>
                    <w:t xml:space="preserve">Email: </w:t>
                  </w:r>
                  <w:hyperlink r:id="rId8" w:history="1">
                    <w:r w:rsidRPr="00662607">
                      <w:rPr>
                        <w:rStyle w:val="Hyperlink"/>
                      </w:rPr>
                      <w:t>admin@digitalbankingreport.com</w:t>
                    </w:r>
                  </w:hyperlink>
                </w:p>
                <w:p w14:paraId="2CC99835" w14:textId="61D61DB1" w:rsidR="008C19D4" w:rsidRDefault="008C19D4" w:rsidP="008C19D4">
                  <w:pPr>
                    <w:pStyle w:val="Data"/>
                  </w:pPr>
                  <w:r>
                    <w:t>By phone at</w:t>
                  </w:r>
                  <w:r w:rsidR="002E3497">
                    <w:t>:</w:t>
                  </w:r>
                  <w:r>
                    <w:t xml:space="preserve"> +1-216-218-4257</w:t>
                  </w:r>
                </w:p>
              </w:tc>
              <w:tc>
                <w:tcPr>
                  <w:tcW w:w="3960" w:type="dxa"/>
                </w:tcPr>
                <w:p w14:paraId="7F7EDE67" w14:textId="33B64BDD" w:rsidR="008C19D4" w:rsidRPr="000E5F7C" w:rsidRDefault="0012418E" w:rsidP="003775EC">
                  <w:pPr>
                    <w:pStyle w:val="Heading3"/>
                    <w:spacing w:before="120"/>
                    <w:outlineLvl w:val="2"/>
                    <w:rPr>
                      <w:szCs w:val="20"/>
                    </w:rPr>
                  </w:pPr>
                  <w:r w:rsidRPr="000E5F7C">
                    <w:rPr>
                      <w:szCs w:val="20"/>
                    </w:rPr>
                    <w:drawing>
                      <wp:anchor distT="0" distB="0" distL="114300" distR="114300" simplePos="0" relativeHeight="251666432" behindDoc="1" locked="0" layoutInCell="1" allowOverlap="1" wp14:anchorId="1172834C" wp14:editId="2123E735">
                        <wp:simplePos x="0" y="0"/>
                        <wp:positionH relativeFrom="column">
                          <wp:posOffset>-53340</wp:posOffset>
                        </wp:positionH>
                        <wp:positionV relativeFrom="paragraph">
                          <wp:posOffset>3527425</wp:posOffset>
                        </wp:positionV>
                        <wp:extent cx="2532748" cy="312420"/>
                        <wp:effectExtent l="0" t="0" r="1270" b="0"/>
                        <wp:wrapNone/>
                        <wp:docPr id="25" name="Picture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532748" cy="312420"/>
                                </a:xfrm>
                                <a:prstGeom prst="rect">
                                  <a:avLst/>
                                </a:prstGeom>
                                <a:noFill/>
                                <a:ln>
                                  <a:noFill/>
                                </a:ln>
                              </pic:spPr>
                            </pic:pic>
                          </a:graphicData>
                        </a:graphic>
                        <wp14:sizeRelH relativeFrom="page">
                          <wp14:pctWidth>0</wp14:pctWidth>
                        </wp14:sizeRelH>
                        <wp14:sizeRelV relativeFrom="page">
                          <wp14:pctHeight>0</wp14:pctHeight>
                        </wp14:sizeRelV>
                      </wp:anchor>
                    </w:drawing>
                  </w:r>
                  <w:r w:rsidR="0007781B" w:rsidRPr="000E5F7C">
                    <w:rPr>
                      <w:szCs w:val="20"/>
                    </w:rPr>
                    <w:drawing>
                      <wp:anchor distT="0" distB="0" distL="114300" distR="114300" simplePos="0" relativeHeight="251665408" behindDoc="1" locked="0" layoutInCell="1" allowOverlap="0" wp14:anchorId="6CB6DE9E" wp14:editId="73893B9E">
                        <wp:simplePos x="0" y="0"/>
                        <wp:positionH relativeFrom="column">
                          <wp:posOffset>52705</wp:posOffset>
                        </wp:positionH>
                        <wp:positionV relativeFrom="paragraph">
                          <wp:posOffset>28575</wp:posOffset>
                        </wp:positionV>
                        <wp:extent cx="2411730" cy="3116580"/>
                        <wp:effectExtent l="19050" t="19050" r="26670" b="2667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1">
                                  <a:extLst>
                                    <a:ext uri="{28A0092B-C50C-407E-A947-70E740481C1C}">
                                      <a14:useLocalDpi xmlns:a14="http://schemas.microsoft.com/office/drawing/2010/main" val="0"/>
                                    </a:ext>
                                  </a:extLst>
                                </a:blip>
                                <a:stretch>
                                  <a:fillRect/>
                                </a:stretch>
                              </pic:blipFill>
                              <pic:spPr>
                                <a:xfrm>
                                  <a:off x="0" y="0"/>
                                  <a:ext cx="2411730" cy="3116580"/>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r w:rsidR="008C19D4" w:rsidRPr="000E5F7C">
                    <w:rPr>
                      <w:szCs w:val="20"/>
                    </w:rPr>
                    <w:t>Sponsored by:</w:t>
                  </w:r>
                </w:p>
              </w:tc>
            </w:tr>
          </w:tbl>
          <w:p w14:paraId="4C725498" w14:textId="7151D9DD" w:rsidR="002A36B4" w:rsidRDefault="002A36B4" w:rsidP="00F56EE8"/>
        </w:tc>
      </w:tr>
    </w:tbl>
    <w:p w14:paraId="00F5A33C" w14:textId="04DF326A" w:rsidR="00F56EE8" w:rsidRDefault="00F56EE8" w:rsidP="00F56EE8">
      <w:pPr>
        <w:pStyle w:val="Heading2"/>
        <w:rPr>
          <w:noProof/>
        </w:rPr>
      </w:pPr>
      <w:r>
        <w:rPr>
          <w:noProof/>
        </w:rPr>
        <w:t>Abstract</w:t>
      </w:r>
    </w:p>
    <w:p w14:paraId="4C7ED733" w14:textId="599C5412" w:rsidR="00951B72" w:rsidRPr="00951B72" w:rsidRDefault="00951B72" w:rsidP="00951B72">
      <w:pPr>
        <w:pStyle w:val="Text"/>
      </w:pPr>
      <w:r w:rsidRPr="00951B72">
        <w:t>We believe there several ‘innovation truths’ that should not be up for debate. First, organizations that are successful with innovation have a bias towards forward progress and concrete outcomes. In other words, there needs to be less talk about the process and more emphasis on speed, scalability, and cooperation. It has also been found that high-growth companies tend to have a formal innovation process that correlates to innovation maturity and positive revenue impacts.</w:t>
      </w:r>
    </w:p>
    <w:p w14:paraId="1BC8C358" w14:textId="25B631AC" w:rsidR="00951B72" w:rsidRPr="00951B72" w:rsidRDefault="00951B72" w:rsidP="00951B72">
      <w:pPr>
        <w:pStyle w:val="Text"/>
      </w:pPr>
      <w:r w:rsidRPr="00951B72">
        <w:t>It is also better to have an imperfect innovation today than to overthink the process to the degree that a delay of 12 to 18 months occurs. The banking industry traditionally likes to focus on larger innovations that take months when iterations of processes, products and operations may be a better way to proceed. In other words, it is better to avoid tentativeness in implementation as it relates to the size of the endeavor.</w:t>
      </w:r>
    </w:p>
    <w:p w14:paraId="7FFADA23" w14:textId="77777777" w:rsidR="00951B72" w:rsidRPr="00951B72" w:rsidRDefault="00951B72" w:rsidP="00951B72">
      <w:pPr>
        <w:pStyle w:val="Text"/>
      </w:pPr>
      <w:r w:rsidRPr="00951B72">
        <w:t>The best performing financial organizations have an innovation mentality that is not centralized in a single department but shared throughout the organization with top-down leadership support. Having the C-suite completely aligned with all innovation initiatives is directly correlated to success.</w:t>
      </w:r>
    </w:p>
    <w:p w14:paraId="78BE1234" w14:textId="5D522668" w:rsidR="00951B72" w:rsidRPr="00951B72" w:rsidRDefault="00951B72" w:rsidP="00951B72">
      <w:pPr>
        <w:pStyle w:val="Text"/>
      </w:pPr>
      <w:r w:rsidRPr="00951B72">
        <w:t>With innovation, success is far from guaranteed. This creates challenges, especially in banking where risk avoidance (as opposed to risk management) is the foundation for a great deal of the legacy thought process. Usually, the success of innovation is directly correlated to the length of time spent on the innovation. But that does not mean that speed is not important. It comes back to iterative innovation.</w:t>
      </w:r>
    </w:p>
    <w:p w14:paraId="1654AABF" w14:textId="339844E4" w:rsidR="00951B72" w:rsidRPr="00951B72" w:rsidRDefault="00951B72" w:rsidP="00951B72">
      <w:pPr>
        <w:pStyle w:val="Text"/>
      </w:pPr>
      <w:r w:rsidRPr="00951B72">
        <w:t xml:space="preserve">Finally, an organization with a 'challenger mindset' realizes that 'failures' are </w:t>
      </w:r>
      <w:r w:rsidRPr="00951B72">
        <w:rPr>
          <w:i/>
          <w:iCs/>
        </w:rPr>
        <w:t>learning</w:t>
      </w:r>
      <w:r w:rsidRPr="00951B72">
        <w:t xml:space="preserve"> opportunities that precede </w:t>
      </w:r>
      <w:r w:rsidRPr="00951B72">
        <w:rPr>
          <w:i/>
          <w:iCs/>
        </w:rPr>
        <w:t>earning</w:t>
      </w:r>
      <w:r w:rsidRPr="00951B72">
        <w:t xml:space="preserve"> opportunities. This is definitely a paradigm shift for many financial institutions that have historically punished failure and discouraged risk taking. Innovation leaders engender an abundance, rather than scarcity, mindset, with a recognition that failure isn't money wasted, but instead, money invested.</w:t>
      </w:r>
    </w:p>
    <w:p w14:paraId="4927262C" w14:textId="36072F30" w:rsidR="00951B72" w:rsidRPr="00951B72" w:rsidRDefault="00951B72" w:rsidP="00951B72">
      <w:pPr>
        <w:pStyle w:val="Text"/>
      </w:pPr>
      <w:r w:rsidRPr="00951B72">
        <w:t xml:space="preserve">This year’s Innovation in Retail Banking Beyond the Pandemic report is again sponsored by </w:t>
      </w:r>
      <w:hyperlink r:id="rId12" w:history="1">
        <w:r w:rsidRPr="00951B72">
          <w:rPr>
            <w:rStyle w:val="Hyperlink"/>
          </w:rPr>
          <w:t>Infosys Finacle</w:t>
        </w:r>
      </w:hyperlink>
      <w:r w:rsidRPr="00951B72">
        <w:t xml:space="preserve"> in cooperation with </w:t>
      </w:r>
      <w:hyperlink r:id="rId13" w:history="1">
        <w:proofErr w:type="spellStart"/>
        <w:r w:rsidRPr="00951B72">
          <w:rPr>
            <w:rStyle w:val="Hyperlink"/>
          </w:rPr>
          <w:t>Efma</w:t>
        </w:r>
        <w:proofErr w:type="spellEnd"/>
      </w:hyperlink>
      <w:r w:rsidRPr="00951B72">
        <w:t>. This is the 13th year of this report, and it is a unique edition since we have moved beyond the crisis more of the pandemic into a new paradigm where innovation and digital transformation has become the foundation for growth and future success.</w:t>
      </w:r>
    </w:p>
    <w:p w14:paraId="63077E52" w14:textId="2D5227CE" w:rsidR="008860BA" w:rsidRPr="008860BA" w:rsidRDefault="008860BA" w:rsidP="00951B72">
      <w:pPr>
        <w:pStyle w:val="Text"/>
      </w:pPr>
    </w:p>
    <w:sectPr w:rsidR="008860BA" w:rsidRPr="008860BA" w:rsidSect="00081827">
      <w:pgSz w:w="12240" w:h="15840"/>
      <w:pgMar w:top="36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F1FA8"/>
    <w:multiLevelType w:val="hybridMultilevel"/>
    <w:tmpl w:val="3D8CA112"/>
    <w:lvl w:ilvl="0" w:tplc="CE2267CC">
      <w:start w:val="1"/>
      <w:numFmt w:val="bullet"/>
      <w:pStyle w:val="Tex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6F97952"/>
    <w:multiLevelType w:val="hybridMultilevel"/>
    <w:tmpl w:val="08FAB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C7"/>
    <w:rsid w:val="0001029B"/>
    <w:rsid w:val="0007781B"/>
    <w:rsid w:val="00081827"/>
    <w:rsid w:val="000E5F7C"/>
    <w:rsid w:val="0012418E"/>
    <w:rsid w:val="00131194"/>
    <w:rsid w:val="00157DDC"/>
    <w:rsid w:val="001F09A5"/>
    <w:rsid w:val="00297269"/>
    <w:rsid w:val="002A36B4"/>
    <w:rsid w:val="002A3993"/>
    <w:rsid w:val="002E3497"/>
    <w:rsid w:val="00323610"/>
    <w:rsid w:val="003775EC"/>
    <w:rsid w:val="00382127"/>
    <w:rsid w:val="003B09E1"/>
    <w:rsid w:val="003E54E6"/>
    <w:rsid w:val="00461ECA"/>
    <w:rsid w:val="004859DD"/>
    <w:rsid w:val="00494800"/>
    <w:rsid w:val="004A3D77"/>
    <w:rsid w:val="004D3D64"/>
    <w:rsid w:val="004E1B0B"/>
    <w:rsid w:val="0060127B"/>
    <w:rsid w:val="00601F4A"/>
    <w:rsid w:val="00621654"/>
    <w:rsid w:val="00641466"/>
    <w:rsid w:val="006A6664"/>
    <w:rsid w:val="006B4A0B"/>
    <w:rsid w:val="006C20FB"/>
    <w:rsid w:val="006E734D"/>
    <w:rsid w:val="00702D5A"/>
    <w:rsid w:val="00740167"/>
    <w:rsid w:val="00755B59"/>
    <w:rsid w:val="00770429"/>
    <w:rsid w:val="007D224C"/>
    <w:rsid w:val="00862A4F"/>
    <w:rsid w:val="008860BA"/>
    <w:rsid w:val="00894722"/>
    <w:rsid w:val="008C19D4"/>
    <w:rsid w:val="008D2AC2"/>
    <w:rsid w:val="009125F9"/>
    <w:rsid w:val="0093404F"/>
    <w:rsid w:val="009362BC"/>
    <w:rsid w:val="00951B72"/>
    <w:rsid w:val="009B2F89"/>
    <w:rsid w:val="009B3E11"/>
    <w:rsid w:val="009D10C4"/>
    <w:rsid w:val="009D3AC7"/>
    <w:rsid w:val="00A20354"/>
    <w:rsid w:val="00B877E0"/>
    <w:rsid w:val="00BA0CD7"/>
    <w:rsid w:val="00BC5EAF"/>
    <w:rsid w:val="00BD7A52"/>
    <w:rsid w:val="00C218CC"/>
    <w:rsid w:val="00CD7D27"/>
    <w:rsid w:val="00CE18FA"/>
    <w:rsid w:val="00CE4BC6"/>
    <w:rsid w:val="00D47830"/>
    <w:rsid w:val="00D6278B"/>
    <w:rsid w:val="00DC1974"/>
    <w:rsid w:val="00DD4397"/>
    <w:rsid w:val="00E57F3F"/>
    <w:rsid w:val="00E777B8"/>
    <w:rsid w:val="00EA068C"/>
    <w:rsid w:val="00F56EE8"/>
    <w:rsid w:val="00F86F7A"/>
    <w:rsid w:val="00F95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0D04"/>
  <w15:chartTrackingRefBased/>
  <w15:docId w15:val="{E1357071-7E8D-422C-A57B-11DB5C10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F4A"/>
    <w:pPr>
      <w:spacing w:after="60" w:line="240" w:lineRule="auto"/>
    </w:pPr>
    <w:rPr>
      <w:rFonts w:ascii="Open Sans" w:hAnsi="Open Sans"/>
      <w:sz w:val="20"/>
    </w:rPr>
  </w:style>
  <w:style w:type="paragraph" w:styleId="Heading2">
    <w:name w:val="heading 2"/>
    <w:basedOn w:val="Normal"/>
    <w:next w:val="Normal"/>
    <w:link w:val="Heading2Char"/>
    <w:uiPriority w:val="9"/>
    <w:unhideWhenUsed/>
    <w:qFormat/>
    <w:rsid w:val="008C19D4"/>
    <w:pPr>
      <w:keepNext/>
      <w:keepLines/>
      <w:spacing w:before="80" w:after="0"/>
      <w:outlineLvl w:val="1"/>
    </w:pPr>
    <w:rPr>
      <w:rFonts w:eastAsiaTheme="majorEastAsia" w:cstheme="minorHAnsi"/>
      <w:b/>
      <w:bCs/>
      <w:color w:val="000000" w:themeColor="text1"/>
      <w:szCs w:val="24"/>
    </w:rPr>
  </w:style>
  <w:style w:type="paragraph" w:styleId="Heading3">
    <w:name w:val="heading 3"/>
    <w:basedOn w:val="Normal"/>
    <w:next w:val="Normal"/>
    <w:link w:val="Heading3Char"/>
    <w:uiPriority w:val="9"/>
    <w:unhideWhenUsed/>
    <w:qFormat/>
    <w:rsid w:val="000E5F7C"/>
    <w:pPr>
      <w:keepNext/>
      <w:keepLines/>
      <w:spacing w:after="0"/>
      <w:jc w:val="center"/>
      <w:outlineLvl w:val="2"/>
    </w:pPr>
    <w:rPr>
      <w:rFonts w:eastAsiaTheme="majorEastAsia" w:cstheme="majorBidi"/>
      <w:b/>
      <w:bCs/>
      <w:noProo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C19D4"/>
    <w:rPr>
      <w:rFonts w:ascii="Open Sans" w:eastAsiaTheme="majorEastAsia" w:hAnsi="Open Sans" w:cstheme="minorHAnsi"/>
      <w:b/>
      <w:bCs/>
      <w:color w:val="000000" w:themeColor="text1"/>
      <w:sz w:val="20"/>
      <w:szCs w:val="24"/>
    </w:rPr>
  </w:style>
  <w:style w:type="character" w:styleId="Hyperlink">
    <w:name w:val="Hyperlink"/>
    <w:basedOn w:val="DefaultParagraphFont"/>
    <w:uiPriority w:val="99"/>
    <w:unhideWhenUsed/>
    <w:rsid w:val="002A36B4"/>
    <w:rPr>
      <w:color w:val="C00000"/>
      <w:u w:val="single"/>
    </w:rPr>
  </w:style>
  <w:style w:type="character" w:styleId="UnresolvedMention">
    <w:name w:val="Unresolved Mention"/>
    <w:basedOn w:val="DefaultParagraphFont"/>
    <w:uiPriority w:val="99"/>
    <w:semiHidden/>
    <w:unhideWhenUsed/>
    <w:rsid w:val="002A36B4"/>
    <w:rPr>
      <w:color w:val="605E5C"/>
      <w:shd w:val="clear" w:color="auto" w:fill="E1DFDD"/>
    </w:rPr>
  </w:style>
  <w:style w:type="paragraph" w:customStyle="1" w:styleId="Data">
    <w:name w:val="Data"/>
    <w:basedOn w:val="Normal"/>
    <w:qFormat/>
    <w:rsid w:val="00702D5A"/>
    <w:pPr>
      <w:spacing w:after="0"/>
    </w:pPr>
  </w:style>
  <w:style w:type="paragraph" w:customStyle="1" w:styleId="Text">
    <w:name w:val="Text"/>
    <w:basedOn w:val="Normal"/>
    <w:qFormat/>
    <w:rsid w:val="00951B72"/>
    <w:pPr>
      <w:spacing w:before="80" w:after="0"/>
    </w:pPr>
    <w:rPr>
      <w:sz w:val="21"/>
      <w:szCs w:val="19"/>
    </w:rPr>
  </w:style>
  <w:style w:type="character" w:customStyle="1" w:styleId="Heading3Char">
    <w:name w:val="Heading 3 Char"/>
    <w:basedOn w:val="DefaultParagraphFont"/>
    <w:link w:val="Heading3"/>
    <w:uiPriority w:val="9"/>
    <w:rsid w:val="000E5F7C"/>
    <w:rPr>
      <w:rFonts w:ascii="Open Sans" w:eastAsiaTheme="majorEastAsia" w:hAnsi="Open Sans" w:cstheme="majorBidi"/>
      <w:b/>
      <w:bCs/>
      <w:noProof/>
      <w:sz w:val="20"/>
      <w:szCs w:val="24"/>
    </w:rPr>
  </w:style>
  <w:style w:type="paragraph" w:customStyle="1" w:styleId="TextBullet">
    <w:name w:val="TextBullet"/>
    <w:basedOn w:val="Text"/>
    <w:qFormat/>
    <w:rsid w:val="007D224C"/>
    <w:pPr>
      <w:numPr>
        <w:numId w:val="1"/>
      </w:numPr>
      <w:spacing w:before="20"/>
    </w:pPr>
  </w:style>
  <w:style w:type="character" w:styleId="FollowedHyperlink">
    <w:name w:val="FollowedHyperlink"/>
    <w:basedOn w:val="DefaultParagraphFont"/>
    <w:uiPriority w:val="99"/>
    <w:semiHidden/>
    <w:unhideWhenUsed/>
    <w:rsid w:val="002A39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8552">
      <w:bodyDiv w:val="1"/>
      <w:marLeft w:val="0"/>
      <w:marRight w:val="0"/>
      <w:marTop w:val="0"/>
      <w:marBottom w:val="0"/>
      <w:divBdr>
        <w:top w:val="none" w:sz="0" w:space="0" w:color="auto"/>
        <w:left w:val="none" w:sz="0" w:space="0" w:color="auto"/>
        <w:bottom w:val="none" w:sz="0" w:space="0" w:color="auto"/>
        <w:right w:val="none" w:sz="0" w:space="0" w:color="auto"/>
      </w:divBdr>
    </w:div>
    <w:div w:id="412095186">
      <w:bodyDiv w:val="1"/>
      <w:marLeft w:val="0"/>
      <w:marRight w:val="0"/>
      <w:marTop w:val="0"/>
      <w:marBottom w:val="0"/>
      <w:divBdr>
        <w:top w:val="none" w:sz="0" w:space="0" w:color="auto"/>
        <w:left w:val="none" w:sz="0" w:space="0" w:color="auto"/>
        <w:bottom w:val="none" w:sz="0" w:space="0" w:color="auto"/>
        <w:right w:val="none" w:sz="0" w:space="0" w:color="auto"/>
      </w:divBdr>
    </w:div>
    <w:div w:id="447701531">
      <w:bodyDiv w:val="1"/>
      <w:marLeft w:val="0"/>
      <w:marRight w:val="0"/>
      <w:marTop w:val="0"/>
      <w:marBottom w:val="0"/>
      <w:divBdr>
        <w:top w:val="none" w:sz="0" w:space="0" w:color="auto"/>
        <w:left w:val="none" w:sz="0" w:space="0" w:color="auto"/>
        <w:bottom w:val="none" w:sz="0" w:space="0" w:color="auto"/>
        <w:right w:val="none" w:sz="0" w:space="0" w:color="auto"/>
      </w:divBdr>
    </w:div>
    <w:div w:id="498424068">
      <w:bodyDiv w:val="1"/>
      <w:marLeft w:val="0"/>
      <w:marRight w:val="0"/>
      <w:marTop w:val="0"/>
      <w:marBottom w:val="0"/>
      <w:divBdr>
        <w:top w:val="none" w:sz="0" w:space="0" w:color="auto"/>
        <w:left w:val="none" w:sz="0" w:space="0" w:color="auto"/>
        <w:bottom w:val="none" w:sz="0" w:space="0" w:color="auto"/>
        <w:right w:val="none" w:sz="0" w:space="0" w:color="auto"/>
      </w:divBdr>
    </w:div>
    <w:div w:id="517936711">
      <w:bodyDiv w:val="1"/>
      <w:marLeft w:val="0"/>
      <w:marRight w:val="0"/>
      <w:marTop w:val="0"/>
      <w:marBottom w:val="0"/>
      <w:divBdr>
        <w:top w:val="none" w:sz="0" w:space="0" w:color="auto"/>
        <w:left w:val="none" w:sz="0" w:space="0" w:color="auto"/>
        <w:bottom w:val="none" w:sz="0" w:space="0" w:color="auto"/>
        <w:right w:val="none" w:sz="0" w:space="0" w:color="auto"/>
      </w:divBdr>
    </w:div>
    <w:div w:id="1057126959">
      <w:bodyDiv w:val="1"/>
      <w:marLeft w:val="0"/>
      <w:marRight w:val="0"/>
      <w:marTop w:val="0"/>
      <w:marBottom w:val="0"/>
      <w:divBdr>
        <w:top w:val="none" w:sz="0" w:space="0" w:color="auto"/>
        <w:left w:val="none" w:sz="0" w:space="0" w:color="auto"/>
        <w:bottom w:val="none" w:sz="0" w:space="0" w:color="auto"/>
        <w:right w:val="none" w:sz="0" w:space="0" w:color="auto"/>
      </w:divBdr>
    </w:div>
    <w:div w:id="1323200076">
      <w:bodyDiv w:val="1"/>
      <w:marLeft w:val="0"/>
      <w:marRight w:val="0"/>
      <w:marTop w:val="0"/>
      <w:marBottom w:val="0"/>
      <w:divBdr>
        <w:top w:val="none" w:sz="0" w:space="0" w:color="auto"/>
        <w:left w:val="none" w:sz="0" w:space="0" w:color="auto"/>
        <w:bottom w:val="none" w:sz="0" w:space="0" w:color="auto"/>
        <w:right w:val="none" w:sz="0" w:space="0" w:color="auto"/>
      </w:divBdr>
    </w:div>
    <w:div w:id="1582789883">
      <w:bodyDiv w:val="1"/>
      <w:marLeft w:val="0"/>
      <w:marRight w:val="0"/>
      <w:marTop w:val="0"/>
      <w:marBottom w:val="0"/>
      <w:divBdr>
        <w:top w:val="none" w:sz="0" w:space="0" w:color="auto"/>
        <w:left w:val="none" w:sz="0" w:space="0" w:color="auto"/>
        <w:bottom w:val="none" w:sz="0" w:space="0" w:color="auto"/>
        <w:right w:val="none" w:sz="0" w:space="0" w:color="auto"/>
      </w:divBdr>
    </w:div>
    <w:div w:id="1861428230">
      <w:bodyDiv w:val="1"/>
      <w:marLeft w:val="0"/>
      <w:marRight w:val="0"/>
      <w:marTop w:val="0"/>
      <w:marBottom w:val="0"/>
      <w:divBdr>
        <w:top w:val="none" w:sz="0" w:space="0" w:color="auto"/>
        <w:left w:val="none" w:sz="0" w:space="0" w:color="auto"/>
        <w:bottom w:val="none" w:sz="0" w:space="0" w:color="auto"/>
        <w:right w:val="none" w:sz="0" w:space="0" w:color="auto"/>
      </w:divBdr>
    </w:div>
    <w:div w:id="1893227822">
      <w:bodyDiv w:val="1"/>
      <w:marLeft w:val="0"/>
      <w:marRight w:val="0"/>
      <w:marTop w:val="0"/>
      <w:marBottom w:val="0"/>
      <w:divBdr>
        <w:top w:val="none" w:sz="0" w:space="0" w:color="auto"/>
        <w:left w:val="none" w:sz="0" w:space="0" w:color="auto"/>
        <w:bottom w:val="none" w:sz="0" w:space="0" w:color="auto"/>
        <w:right w:val="none" w:sz="0" w:space="0" w:color="auto"/>
      </w:divBdr>
    </w:div>
    <w:div w:id="1909027503">
      <w:bodyDiv w:val="1"/>
      <w:marLeft w:val="0"/>
      <w:marRight w:val="0"/>
      <w:marTop w:val="0"/>
      <w:marBottom w:val="0"/>
      <w:divBdr>
        <w:top w:val="none" w:sz="0" w:space="0" w:color="auto"/>
        <w:left w:val="none" w:sz="0" w:space="0" w:color="auto"/>
        <w:bottom w:val="none" w:sz="0" w:space="0" w:color="auto"/>
        <w:right w:val="none" w:sz="0" w:space="0" w:color="auto"/>
      </w:divBdr>
    </w:div>
    <w:div w:id="1926962252">
      <w:bodyDiv w:val="1"/>
      <w:marLeft w:val="0"/>
      <w:marRight w:val="0"/>
      <w:marTop w:val="0"/>
      <w:marBottom w:val="0"/>
      <w:divBdr>
        <w:top w:val="none" w:sz="0" w:space="0" w:color="auto"/>
        <w:left w:val="none" w:sz="0" w:space="0" w:color="auto"/>
        <w:bottom w:val="none" w:sz="0" w:space="0" w:color="auto"/>
        <w:right w:val="none" w:sz="0" w:space="0" w:color="auto"/>
      </w:divBdr>
    </w:div>
    <w:div w:id="1969973319">
      <w:bodyDiv w:val="1"/>
      <w:marLeft w:val="0"/>
      <w:marRight w:val="0"/>
      <w:marTop w:val="0"/>
      <w:marBottom w:val="0"/>
      <w:divBdr>
        <w:top w:val="none" w:sz="0" w:space="0" w:color="auto"/>
        <w:left w:val="none" w:sz="0" w:space="0" w:color="auto"/>
        <w:bottom w:val="none" w:sz="0" w:space="0" w:color="auto"/>
        <w:right w:val="none" w:sz="0" w:space="0" w:color="auto"/>
      </w:divBdr>
    </w:div>
    <w:div w:id="2002852005">
      <w:bodyDiv w:val="1"/>
      <w:marLeft w:val="0"/>
      <w:marRight w:val="0"/>
      <w:marTop w:val="0"/>
      <w:marBottom w:val="0"/>
      <w:divBdr>
        <w:top w:val="none" w:sz="0" w:space="0" w:color="auto"/>
        <w:left w:val="none" w:sz="0" w:space="0" w:color="auto"/>
        <w:bottom w:val="none" w:sz="0" w:space="0" w:color="auto"/>
        <w:right w:val="none" w:sz="0" w:space="0" w:color="auto"/>
      </w:divBdr>
    </w:div>
    <w:div w:id="203773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digitalbankingreport.com" TargetMode="External"/><Relationship Id="rId13" Type="http://schemas.openxmlformats.org/officeDocument/2006/relationships/hyperlink" Target="https://www.efma.com" TargetMode="External"/><Relationship Id="rId3" Type="http://schemas.openxmlformats.org/officeDocument/2006/relationships/settings" Target="settings.xml"/><Relationship Id="rId7" Type="http://schemas.openxmlformats.org/officeDocument/2006/relationships/hyperlink" Target="https://www.digitalbankingreport.com/dbr/dbr289" TargetMode="External"/><Relationship Id="rId12" Type="http://schemas.openxmlformats.org/officeDocument/2006/relationships/hyperlink" Target="https://www.edgeverve.com/fina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jimmarous"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delux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Booth</dc:creator>
  <cp:keywords/>
  <dc:description/>
  <cp:lastModifiedBy>Jim Booth</cp:lastModifiedBy>
  <cp:revision>5</cp:revision>
  <cp:lastPrinted>2021-12-08T04:53:00Z</cp:lastPrinted>
  <dcterms:created xsi:type="dcterms:W3CDTF">2021-10-07T02:31:00Z</dcterms:created>
  <dcterms:modified xsi:type="dcterms:W3CDTF">2021-12-08T06:17:00Z</dcterms:modified>
</cp:coreProperties>
</file>