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F039" w14:textId="77777777" w:rsidR="00C95A1F" w:rsidRDefault="00D90B4B" w:rsidP="005659A7">
      <w:r>
        <w:rPr>
          <w:noProof/>
        </w:rPr>
        <w:pict w14:anchorId="74A7AE38">
          <v:shapetype id="_x0000_t202" coordsize="21600,21600" o:spt="202" path="m,l,21600r21600,l21600,xe">
            <v:stroke joinstyle="miter"/>
            <v:path gradientshapeok="t" o:connecttype="rect"/>
          </v:shapetype>
          <v:shape id="_x0000_s1033" type="#_x0000_t202" style="position:absolute;margin-left:355.2pt;margin-top:-1.05pt;width:190.8pt;height:297.75pt;z-index:251665408;mso-wrap-distance-left:9pt;mso-wrap-distance-top:0;mso-wrap-distance-right:9pt;mso-wrap-distance-bottom:0;mso-position-horizontal-relative:text;mso-position-vertical-relative:text;mso-width-relative:page;mso-height-relative:page;mso-position-horizontal-col-start:0;mso-width-col-span:0;v-text-anchor:top" filled="f" stroked="f" strokecolor="black [3213]" strokeweight="0">
            <v:textbox inset="0,0,0,0">
              <w:txbxContent>
                <w:p w14:paraId="6FB72014" w14:textId="77777777" w:rsidR="007A7627" w:rsidRDefault="00D63373" w:rsidP="005D7A04">
                  <w:pPr>
                    <w:ind w:left="720" w:hanging="720"/>
                  </w:pPr>
                  <w:bookmarkStart w:id="0" w:name="_Hlk494647842"/>
                  <w:bookmarkEnd w:id="0"/>
                  <w:r>
                    <w:rPr>
                      <w:noProof/>
                    </w:rPr>
                    <w:drawing>
                      <wp:inline distT="0" distB="0" distL="0" distR="0" wp14:anchorId="3D0962E1" wp14:editId="63025798">
                        <wp:extent cx="2326998" cy="3007645"/>
                        <wp:effectExtent l="19050" t="1905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6998" cy="3007645"/>
                                </a:xfrm>
                                <a:prstGeom prst="rect">
                                  <a:avLst/>
                                </a:prstGeom>
                                <a:ln w="12700">
                                  <a:solidFill>
                                    <a:schemeClr val="tx1">
                                      <a:lumMod val="50000"/>
                                      <a:lumOff val="50000"/>
                                    </a:schemeClr>
                                  </a:solidFill>
                                </a:ln>
                              </pic:spPr>
                            </pic:pic>
                          </a:graphicData>
                        </a:graphic>
                      </wp:inline>
                    </w:drawing>
                  </w:r>
                </w:p>
                <w:p w14:paraId="5F568158" w14:textId="77777777" w:rsidR="00D63373" w:rsidRDefault="00D63373" w:rsidP="00743793">
                  <w:pPr>
                    <w:jc w:val="center"/>
                  </w:pPr>
                </w:p>
                <w:p w14:paraId="1D54DA57" w14:textId="46CC2E73" w:rsidR="007037ED" w:rsidRDefault="005375C4" w:rsidP="00743793">
                  <w:pPr>
                    <w:jc w:val="center"/>
                    <w:rPr>
                      <w:b/>
                    </w:rPr>
                  </w:pPr>
                  <w:r>
                    <w:rPr>
                      <w:b/>
                    </w:rPr>
                    <w:t>Sponsored by:</w:t>
                  </w:r>
                  <w:r w:rsidR="005D7A04" w:rsidRPr="005D7A04">
                    <w:rPr>
                      <w:b/>
                      <w:noProof/>
                      <w:sz w:val="12"/>
                      <w:szCs w:val="12"/>
                    </w:rPr>
                    <w:t xml:space="preserve"> </w:t>
                  </w:r>
                  <w:bookmarkStart w:id="1" w:name="_GoBack"/>
                  <w:r w:rsidR="005D7A04">
                    <w:rPr>
                      <w:b/>
                      <w:noProof/>
                      <w:sz w:val="12"/>
                      <w:szCs w:val="12"/>
                    </w:rPr>
                    <w:drawing>
                      <wp:inline distT="0" distB="0" distL="0" distR="0" wp14:anchorId="704173A3" wp14:editId="72864157">
                        <wp:extent cx="1682496" cy="393192"/>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a:stretch>
                                  <a:fillRect/>
                                </a:stretch>
                              </pic:blipFill>
                              <pic:spPr>
                                <a:xfrm>
                                  <a:off x="0" y="0"/>
                                  <a:ext cx="1682496" cy="393192"/>
                                </a:xfrm>
                                <a:prstGeom prst="rect">
                                  <a:avLst/>
                                </a:prstGeom>
                              </pic:spPr>
                            </pic:pic>
                          </a:graphicData>
                        </a:graphic>
                      </wp:inline>
                    </w:drawing>
                  </w:r>
                  <w:bookmarkEnd w:id="1"/>
                </w:p>
                <w:p w14:paraId="14AD0455" w14:textId="0190FEFB" w:rsidR="00D628B1" w:rsidRDefault="00D628B1" w:rsidP="00743793">
                  <w:pPr>
                    <w:jc w:val="center"/>
                    <w:rPr>
                      <w:b/>
                    </w:rPr>
                  </w:pPr>
                </w:p>
                <w:p w14:paraId="4C8BF1EB" w14:textId="4872C59A" w:rsidR="005375C4" w:rsidRPr="005375C4" w:rsidRDefault="005375C4" w:rsidP="00743793">
                  <w:pPr>
                    <w:jc w:val="center"/>
                    <w:rPr>
                      <w:b/>
                      <w:sz w:val="12"/>
                      <w:szCs w:val="12"/>
                    </w:rPr>
                  </w:pPr>
                </w:p>
                <w:p w14:paraId="2FCC9153" w14:textId="6C6CE9B6" w:rsidR="005375C4" w:rsidRPr="005375C4" w:rsidRDefault="005375C4" w:rsidP="005375C4">
                  <w:pPr>
                    <w:jc w:val="center"/>
                    <w:rPr>
                      <w:b/>
                    </w:rPr>
                  </w:pPr>
                </w:p>
                <w:p w14:paraId="55EFE588" w14:textId="77777777" w:rsidR="00D628B1" w:rsidRDefault="00D628B1"/>
              </w:txbxContent>
            </v:textbox>
            <w10:wrap type="square"/>
          </v:shape>
        </w:pict>
      </w:r>
      <w:r>
        <w:rPr>
          <w:noProof/>
          <w:lang w:eastAsia="zh-TW"/>
        </w:rPr>
        <w:pict w14:anchorId="5FD38424">
          <v:shape id="_x0000_s1026" type="#_x0000_t202" style="position:absolute;margin-left:393pt;margin-top:3.15pt;width:183pt;height:247.95pt;z-index:251660288;mso-width-relative:margin;mso-height-relative:margin" filled="f" stroked="f" strokecolor="black [3213]" strokeweight="1pt">
            <v:textbox inset="0,0,0,0">
              <w:txbxContent>
                <w:p w14:paraId="58029FC7" w14:textId="77777777" w:rsidR="00C003D1" w:rsidRDefault="00C003D1" w:rsidP="009914B9">
                  <w:pPr>
                    <w:tabs>
                      <w:tab w:val="left" w:pos="765"/>
                    </w:tabs>
                  </w:pPr>
                </w:p>
                <w:p w14:paraId="77B87F50" w14:textId="77777777" w:rsidR="00C003D1" w:rsidRPr="00C003D1" w:rsidRDefault="00C003D1" w:rsidP="00C003D1"/>
              </w:txbxContent>
            </v:textbox>
            <w10:wrap type="square"/>
          </v:shape>
        </w:pict>
      </w:r>
      <w:r w:rsidR="00810857" w:rsidRPr="00810857">
        <w:rPr>
          <w:noProof/>
        </w:rPr>
        <w:drawing>
          <wp:inline distT="0" distB="0" distL="0" distR="0" wp14:anchorId="50814533" wp14:editId="0A48937E">
            <wp:extent cx="4442457" cy="118994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R-logo-Large.png"/>
                    <pic:cNvPicPr/>
                  </pic:nvPicPr>
                  <pic:blipFill>
                    <a:blip r:embed="rId11"/>
                    <a:stretch>
                      <a:fillRect/>
                    </a:stretch>
                  </pic:blipFill>
                  <pic:spPr>
                    <a:xfrm>
                      <a:off x="0" y="0"/>
                      <a:ext cx="4442457" cy="1189944"/>
                    </a:xfrm>
                    <a:prstGeom prst="rect">
                      <a:avLst/>
                    </a:prstGeom>
                  </pic:spPr>
                </pic:pic>
              </a:graphicData>
            </a:graphic>
          </wp:inline>
        </w:drawing>
      </w:r>
    </w:p>
    <w:p w14:paraId="78F7B333" w14:textId="71941F26" w:rsidR="006F5563" w:rsidRPr="006F5563" w:rsidRDefault="002A705D" w:rsidP="006F5563">
      <w:pPr>
        <w:spacing w:before="120"/>
        <w:rPr>
          <w:b/>
        </w:rPr>
      </w:pPr>
      <w:r w:rsidRPr="00EE5771">
        <w:rPr>
          <w:b/>
        </w:rPr>
        <w:t xml:space="preserve">Number </w:t>
      </w:r>
      <w:r w:rsidR="00E671F5">
        <w:rPr>
          <w:b/>
        </w:rPr>
        <w:t>2</w:t>
      </w:r>
      <w:r w:rsidR="003843EA">
        <w:rPr>
          <w:b/>
        </w:rPr>
        <w:t>6</w:t>
      </w:r>
      <w:r w:rsidR="007035D6">
        <w:rPr>
          <w:b/>
        </w:rPr>
        <w:t>4</w:t>
      </w:r>
      <w:r w:rsidR="007035D6">
        <w:rPr>
          <w:b/>
        </w:rPr>
        <w:tab/>
      </w:r>
      <w:r w:rsidR="008A1B05">
        <w:br/>
      </w:r>
      <w:r w:rsidR="007035D6" w:rsidRPr="007035D6">
        <w:rPr>
          <w:b/>
        </w:rPr>
        <w:t>Digital Banking Customer Engagement</w:t>
      </w:r>
    </w:p>
    <w:p w14:paraId="168F5ABC" w14:textId="77777777" w:rsidR="0028090D" w:rsidRPr="0028090D" w:rsidRDefault="004749A5" w:rsidP="005659A7">
      <w:pPr>
        <w:pStyle w:val="Heading2"/>
      </w:pPr>
      <w:r>
        <w:t>Editor/</w:t>
      </w:r>
      <w:r w:rsidR="0028090D" w:rsidRPr="0028090D">
        <w:t>Publisher</w:t>
      </w:r>
    </w:p>
    <w:p w14:paraId="14989D51" w14:textId="77777777" w:rsidR="0028090D" w:rsidRPr="0028090D" w:rsidRDefault="00D90B4B" w:rsidP="005659A7">
      <w:hyperlink r:id="rId12" w:history="1">
        <w:r w:rsidR="00810857" w:rsidRPr="004749A5">
          <w:rPr>
            <w:rStyle w:val="Hyperlink"/>
          </w:rPr>
          <w:t>Jim Marous</w:t>
        </w:r>
      </w:hyperlink>
      <w:r w:rsidR="00BE3C92">
        <w:t xml:space="preserve">, </w:t>
      </w:r>
      <w:r w:rsidR="00810857">
        <w:t>DBR Media LLC</w:t>
      </w:r>
    </w:p>
    <w:p w14:paraId="3DD7D6B0" w14:textId="77777777" w:rsidR="0028090D" w:rsidRPr="0028090D" w:rsidRDefault="006F1C00" w:rsidP="005659A7">
      <w:pPr>
        <w:pStyle w:val="Heading2"/>
      </w:pPr>
      <w:r>
        <w:t>Issue</w:t>
      </w:r>
    </w:p>
    <w:p w14:paraId="1C53E280" w14:textId="0BEB6080" w:rsidR="007D58D0" w:rsidRDefault="007035D6" w:rsidP="007D58D0">
      <w:r>
        <w:t>July</w:t>
      </w:r>
      <w:r w:rsidR="00B41B5A">
        <w:t xml:space="preserve"> </w:t>
      </w:r>
      <w:r w:rsidR="007D58D0" w:rsidRPr="007D58D0">
        <w:t>201</w:t>
      </w:r>
      <w:r w:rsidR="00096DDA">
        <w:t>9</w:t>
      </w:r>
      <w:r w:rsidR="007D58D0" w:rsidRPr="007D58D0">
        <w:t xml:space="preserve"> </w:t>
      </w:r>
      <w:r w:rsidR="007D58D0">
        <w:t xml:space="preserve">— </w:t>
      </w:r>
      <w:r w:rsidR="007D58D0" w:rsidRPr="007D58D0">
        <w:t>DBR 2</w:t>
      </w:r>
      <w:r w:rsidR="003843EA">
        <w:t>6</w:t>
      </w:r>
      <w:r>
        <w:t>4</w:t>
      </w:r>
    </w:p>
    <w:p w14:paraId="1A1EDBB1" w14:textId="1F226A89" w:rsidR="004F7B66" w:rsidRDefault="0028090D" w:rsidP="00D75A83">
      <w:pPr>
        <w:pStyle w:val="NoSpacing"/>
      </w:pPr>
      <w:r>
        <w:t>Cost</w:t>
      </w:r>
      <w:r w:rsidR="00D75A83">
        <w:t xml:space="preserve">: </w:t>
      </w:r>
      <w:r>
        <w:t>Individual report: $</w:t>
      </w:r>
      <w:r w:rsidR="00C8164A">
        <w:t>495</w:t>
      </w:r>
      <w:r>
        <w:t>; Enterprise-wide license: $</w:t>
      </w:r>
      <w:r w:rsidR="00525DDE">
        <w:t>1</w:t>
      </w:r>
      <w:r w:rsidR="00C8164A">
        <w:t>995</w:t>
      </w:r>
      <w:r>
        <w:t xml:space="preserve">; </w:t>
      </w:r>
    </w:p>
    <w:p w14:paraId="61C090E6" w14:textId="459FAF8F" w:rsidR="0028090D" w:rsidRDefault="0028090D" w:rsidP="00647181">
      <w:pPr>
        <w:ind w:left="720" w:hanging="720"/>
      </w:pPr>
      <w:r>
        <w:t>Part of subscription</w:t>
      </w:r>
    </w:p>
    <w:p w14:paraId="3383BC5E" w14:textId="77777777" w:rsidR="0028090D" w:rsidRPr="008A1B05" w:rsidRDefault="0028090D" w:rsidP="005659A7">
      <w:pPr>
        <w:pStyle w:val="Heading2"/>
      </w:pPr>
      <w:r w:rsidRPr="008A1B05">
        <w:t>Size</w:t>
      </w:r>
    </w:p>
    <w:p w14:paraId="5FDE42CE" w14:textId="29A285A5" w:rsidR="002A705D" w:rsidRDefault="007035D6" w:rsidP="005659A7">
      <w:r>
        <w:t>71</w:t>
      </w:r>
      <w:r w:rsidR="002A705D" w:rsidRPr="00A77421">
        <w:t xml:space="preserve"> pages, </w:t>
      </w:r>
      <w:r>
        <w:t>32</w:t>
      </w:r>
      <w:r w:rsidR="002A705D" w:rsidRPr="00A77421">
        <w:t xml:space="preserve"> tables/charts</w:t>
      </w:r>
    </w:p>
    <w:p w14:paraId="6CB5BED0" w14:textId="77777777" w:rsidR="0028090D" w:rsidRDefault="0028090D" w:rsidP="005659A7">
      <w:pPr>
        <w:pStyle w:val="Heading2"/>
      </w:pPr>
      <w:r>
        <w:t>Ordering</w:t>
      </w:r>
    </w:p>
    <w:p w14:paraId="7F3696D2" w14:textId="77777777" w:rsidR="007035D6" w:rsidRPr="007035D6" w:rsidRDefault="006F1C00" w:rsidP="00C8164A">
      <w:pPr>
        <w:jc w:val="both"/>
      </w:pPr>
      <w:r>
        <w:t xml:space="preserve">Online </w:t>
      </w:r>
      <w:r w:rsidR="008E3969">
        <w:t xml:space="preserve">at </w:t>
      </w:r>
      <w:r w:rsidR="007035D6">
        <w:fldChar w:fldCharType="begin"/>
      </w:r>
      <w:r w:rsidR="007035D6">
        <w:instrText xml:space="preserve"> HYPERLINK "</w:instrText>
      </w:r>
      <w:r w:rsidR="007035D6" w:rsidRPr="007035D6">
        <w:instrText>https://www.digitalbankingreport.com/dbr/dbr264/</w:instrText>
      </w:r>
    </w:p>
    <w:p w14:paraId="6C44F5E4" w14:textId="77777777" w:rsidR="007035D6" w:rsidRPr="00E348B6" w:rsidRDefault="007035D6" w:rsidP="00C8164A">
      <w:pPr>
        <w:jc w:val="both"/>
        <w:rPr>
          <w:rStyle w:val="Hyperlink"/>
        </w:rPr>
      </w:pPr>
      <w:r>
        <w:instrText xml:space="preserve">" </w:instrText>
      </w:r>
      <w:r>
        <w:fldChar w:fldCharType="separate"/>
      </w:r>
      <w:r w:rsidRPr="00E348B6">
        <w:rPr>
          <w:rStyle w:val="Hyperlink"/>
        </w:rPr>
        <w:t>https://www.digitalbankingreport.com/dbr/dbr264/</w:t>
      </w:r>
    </w:p>
    <w:p w14:paraId="4E0991FE" w14:textId="2C9A128E" w:rsidR="008E3969" w:rsidRDefault="007035D6" w:rsidP="005659A7">
      <w:pPr>
        <w:rPr>
          <w:rFonts w:cs="Verdana"/>
          <w:color w:val="262626"/>
        </w:rPr>
      </w:pPr>
      <w:r>
        <w:fldChar w:fldCharType="end"/>
      </w:r>
      <w:r w:rsidR="0028090D">
        <w:t xml:space="preserve">Email: </w:t>
      </w:r>
      <w:hyperlink r:id="rId13" w:history="1">
        <w:r w:rsidR="008E3969" w:rsidRPr="00607160">
          <w:rPr>
            <w:rFonts w:cs="Verdana"/>
            <w:bCs/>
            <w:color w:val="AA0003"/>
            <w:u w:val="single" w:color="AA0003"/>
          </w:rPr>
          <w:t>admin@digitalbankingreport.com</w:t>
        </w:r>
      </w:hyperlink>
    </w:p>
    <w:p w14:paraId="6032A1D3" w14:textId="444C476F" w:rsidR="008E6619" w:rsidRDefault="008E3969" w:rsidP="005659A7">
      <w:r>
        <w:t xml:space="preserve">By </w:t>
      </w:r>
      <w:r w:rsidR="0028090D">
        <w:t xml:space="preserve">phone at </w:t>
      </w:r>
      <w:r w:rsidR="00607160">
        <w:t xml:space="preserve">+1 </w:t>
      </w:r>
      <w:r w:rsidR="0028090D">
        <w:t>216-218-4257</w:t>
      </w:r>
    </w:p>
    <w:p w14:paraId="117712B7" w14:textId="78B3C78E" w:rsidR="008E6619" w:rsidRDefault="008E6619" w:rsidP="005659A7">
      <w:pPr>
        <w:pStyle w:val="Heading2"/>
      </w:pPr>
      <w:r>
        <w:t>Abstract</w:t>
      </w:r>
    </w:p>
    <w:p w14:paraId="4F83E616" w14:textId="77777777" w:rsidR="007035D6" w:rsidRPr="007035D6" w:rsidRDefault="007035D6" w:rsidP="00D75A83">
      <w:pPr>
        <w:pStyle w:val="Body"/>
        <w:rPr>
          <w:shd w:val="clear" w:color="auto" w:fill="FFFFFF"/>
        </w:rPr>
      </w:pPr>
      <w:r w:rsidRPr="007035D6">
        <w:rPr>
          <w:shd w:val="clear" w:color="auto" w:fill="FFFFFF"/>
        </w:rPr>
        <w:t xml:space="preserve">The banking industry, </w:t>
      </w:r>
      <w:proofErr w:type="gramStart"/>
      <w:r w:rsidRPr="007035D6">
        <w:rPr>
          <w:shd w:val="clear" w:color="auto" w:fill="FFFFFF"/>
        </w:rPr>
        <w:t>similar to</w:t>
      </w:r>
      <w:proofErr w:type="gramEnd"/>
      <w:r w:rsidRPr="007035D6">
        <w:rPr>
          <w:shd w:val="clear" w:color="auto" w:fill="FFFFFF"/>
        </w:rPr>
        <w:t xml:space="preserve"> most industries, is in the midst of a customer engagement revolution. We are no longer evaluated based on how we have connected with consumers in the past, or how our direct banking industry competitors connect with consumers. We are judged by how the tech giants use data and advanced analytics to engage with consumers during the entire customer journey.</w:t>
      </w:r>
    </w:p>
    <w:p w14:paraId="121EC3A5" w14:textId="77777777" w:rsidR="007035D6" w:rsidRPr="007035D6" w:rsidRDefault="007035D6" w:rsidP="00D75A83">
      <w:pPr>
        <w:pStyle w:val="Body"/>
        <w:rPr>
          <w:shd w:val="clear" w:color="auto" w:fill="FFFFFF"/>
        </w:rPr>
      </w:pPr>
      <w:r w:rsidRPr="007035D6">
        <w:rPr>
          <w:shd w:val="clear" w:color="auto" w:fill="FFFFFF"/>
        </w:rPr>
        <w:t xml:space="preserve">The good news is that new technologies allow financial institutions to engage with consumers in new and better ways, closely replicating the </w:t>
      </w:r>
      <w:r w:rsidRPr="00D75A83">
        <w:t>experiences</w:t>
      </w:r>
      <w:r w:rsidRPr="007035D6">
        <w:rPr>
          <w:shd w:val="clear" w:color="auto" w:fill="FFFFFF"/>
        </w:rPr>
        <w:t xml:space="preserve"> provided by Amazon, Google, Facebook and other big tech firms. Going beyond a simplified digital account </w:t>
      </w:r>
      <w:r w:rsidRPr="00D75A83">
        <w:t>opening</w:t>
      </w:r>
      <w:r w:rsidRPr="007035D6">
        <w:rPr>
          <w:shd w:val="clear" w:color="auto" w:fill="FFFFFF"/>
        </w:rPr>
        <w:t xml:space="preserve"> application, banks and credit unions can now engage with their consumers across multiple channels during the entire customer journey … in real time. </w:t>
      </w:r>
    </w:p>
    <w:p w14:paraId="414448C3" w14:textId="77777777" w:rsidR="007035D6" w:rsidRPr="007035D6" w:rsidRDefault="007035D6" w:rsidP="00D75A83">
      <w:pPr>
        <w:rPr>
          <w:rFonts w:cstheme="minorHAnsi"/>
          <w:color w:val="000000" w:themeColor="text1"/>
          <w:shd w:val="clear" w:color="auto" w:fill="FFFFFF"/>
        </w:rPr>
      </w:pPr>
      <w:r w:rsidRPr="007035D6">
        <w:rPr>
          <w:rFonts w:cstheme="minorHAnsi"/>
          <w:color w:val="000000" w:themeColor="text1"/>
          <w:shd w:val="clear" w:color="auto" w:fill="FFFFFF"/>
        </w:rPr>
        <w:t>This allows financial institutions to proactively meet the following consumer engagement expectations:</w:t>
      </w:r>
    </w:p>
    <w:p w14:paraId="73A8470A" w14:textId="77777777" w:rsidR="007035D6" w:rsidRPr="007035D6" w:rsidRDefault="007035D6" w:rsidP="00D75A83">
      <w:pPr>
        <w:pStyle w:val="ListBullet"/>
      </w:pPr>
      <w:r w:rsidRPr="007035D6">
        <w:t xml:space="preserve">Understand what I want and need </w:t>
      </w:r>
      <w:r w:rsidRPr="007035D6">
        <w:rPr>
          <w:i/>
          <w:iCs/>
        </w:rPr>
        <w:t xml:space="preserve">before </w:t>
      </w:r>
      <w:r w:rsidRPr="007035D6">
        <w:t>I ask for it. And, protect me from situations that may negatively impact my financial well-being.</w:t>
      </w:r>
    </w:p>
    <w:p w14:paraId="19BA418C" w14:textId="77777777" w:rsidR="007035D6" w:rsidRPr="007035D6" w:rsidRDefault="007035D6" w:rsidP="00D75A83">
      <w:pPr>
        <w:pStyle w:val="ListBullet"/>
      </w:pPr>
      <w:r w:rsidRPr="007035D6">
        <w:t>Communicate with me on the channel(s) or device(s) that I prefer, even if it is different for different situations.</w:t>
      </w:r>
    </w:p>
    <w:p w14:paraId="19715587" w14:textId="77777777" w:rsidR="007035D6" w:rsidRPr="007035D6" w:rsidRDefault="007035D6" w:rsidP="00D75A83">
      <w:pPr>
        <w:pStyle w:val="ListBullet"/>
        <w:spacing w:after="60"/>
      </w:pPr>
      <w:r w:rsidRPr="007035D6">
        <w:t xml:space="preserve">Learn about me over </w:t>
      </w:r>
      <w:proofErr w:type="gramStart"/>
      <w:r w:rsidRPr="007035D6">
        <w:t>time, and</w:t>
      </w:r>
      <w:proofErr w:type="gramEnd"/>
      <w:r w:rsidRPr="007035D6">
        <w:t xml:space="preserve"> share what you learn with all areas of your organizations so I don’t need to repeat myself.</w:t>
      </w:r>
    </w:p>
    <w:p w14:paraId="6CF97286" w14:textId="77777777" w:rsidR="007035D6" w:rsidRPr="007035D6" w:rsidRDefault="007035D6" w:rsidP="00D75A83">
      <w:pPr>
        <w:pStyle w:val="Body"/>
        <w:rPr>
          <w:shd w:val="clear" w:color="auto" w:fill="FFFFFF"/>
        </w:rPr>
      </w:pPr>
      <w:r w:rsidRPr="007035D6">
        <w:rPr>
          <w:shd w:val="clear" w:color="auto" w:fill="FFFFFF"/>
        </w:rPr>
        <w:t xml:space="preserve">Now, more than ever consumers are completely in control. They share experiences on social platforms and expect a level of personalization </w:t>
      </w:r>
      <w:proofErr w:type="gramStart"/>
      <w:r w:rsidRPr="007035D6">
        <w:rPr>
          <w:shd w:val="clear" w:color="auto" w:fill="FFFFFF"/>
        </w:rPr>
        <w:t>never before</w:t>
      </w:r>
      <w:proofErr w:type="gramEnd"/>
      <w:r w:rsidRPr="007035D6">
        <w:rPr>
          <w:shd w:val="clear" w:color="auto" w:fill="FFFFFF"/>
        </w:rPr>
        <w:t xml:space="preserve"> possible. And the bar is rising fast in terms of what constitutes a ‘personalized’ experience. According to </w:t>
      </w:r>
      <w:r w:rsidRPr="007035D6">
        <w:rPr>
          <w:b/>
          <w:bCs/>
          <w:shd w:val="clear" w:color="auto" w:fill="FFFFFF"/>
        </w:rPr>
        <w:t>Salesforce</w:t>
      </w:r>
      <w:r w:rsidRPr="007035D6">
        <w:rPr>
          <w:shd w:val="clear" w:color="auto" w:fill="FFFFFF"/>
        </w:rPr>
        <w:t>, 62% of consumers now expect companies to adapt based on their actions, communications and behaviors.</w:t>
      </w:r>
    </w:p>
    <w:p w14:paraId="2654D418" w14:textId="77777777" w:rsidR="007035D6" w:rsidRPr="007035D6" w:rsidRDefault="007035D6" w:rsidP="00D75A83">
      <w:pPr>
        <w:pStyle w:val="Body"/>
        <w:rPr>
          <w:shd w:val="clear" w:color="auto" w:fill="FFFFFF"/>
        </w:rPr>
      </w:pPr>
      <w:r w:rsidRPr="007035D6">
        <w:rPr>
          <w:shd w:val="clear" w:color="auto" w:fill="FFFFFF"/>
        </w:rPr>
        <w:t xml:space="preserve">Because of the seamless experience provided by leading non-banking firms, consumers are raising the bar for all other industries. If a bank or credit union doesn’t communicate in a personalized manner, at the best time of connection and on the desired channel, the shortfall is more obvious than ever. </w:t>
      </w:r>
    </w:p>
    <w:p w14:paraId="1F5966E6" w14:textId="77777777" w:rsidR="007035D6" w:rsidRPr="007035D6" w:rsidRDefault="007035D6" w:rsidP="00D75A83">
      <w:pPr>
        <w:pStyle w:val="Body"/>
        <w:rPr>
          <w:shd w:val="clear" w:color="auto" w:fill="FFFFFF"/>
        </w:rPr>
      </w:pPr>
      <w:r w:rsidRPr="007035D6">
        <w:rPr>
          <w:shd w:val="clear" w:color="auto" w:fill="FFFFFF"/>
        </w:rPr>
        <w:t xml:space="preserve">“Convenience and ease are the pillars for a great engagement and AI can supercharge them all,” said David Clarke, Global Chief Experience Officer, </w:t>
      </w:r>
      <w:r w:rsidRPr="007035D6">
        <w:rPr>
          <w:b/>
          <w:bCs/>
          <w:shd w:val="clear" w:color="auto" w:fill="FFFFFF"/>
        </w:rPr>
        <w:t>PwC</w:t>
      </w:r>
      <w:r w:rsidRPr="007035D6">
        <w:rPr>
          <w:shd w:val="clear" w:color="auto" w:fill="FFFFFF"/>
        </w:rPr>
        <w:t xml:space="preserve">. “Success lies in delivering experiences that are personalized, real-time, and </w:t>
      </w:r>
      <w:proofErr w:type="gramStart"/>
      <w:r w:rsidRPr="007035D6">
        <w:rPr>
          <w:shd w:val="clear" w:color="auto" w:fill="FFFFFF"/>
        </w:rPr>
        <w:t>connected.“</w:t>
      </w:r>
      <w:proofErr w:type="gramEnd"/>
      <w:r w:rsidRPr="007035D6">
        <w:rPr>
          <w:shd w:val="clear" w:color="auto" w:fill="FFFFFF"/>
        </w:rPr>
        <w:t xml:space="preserve"> </w:t>
      </w:r>
    </w:p>
    <w:p w14:paraId="43CD58A6" w14:textId="3318A1C9" w:rsidR="007035D6" w:rsidRPr="007035D6" w:rsidRDefault="007035D6" w:rsidP="00D75A83">
      <w:pPr>
        <w:pStyle w:val="Body"/>
        <w:rPr>
          <w:shd w:val="clear" w:color="auto" w:fill="FFFFFF"/>
        </w:rPr>
      </w:pPr>
      <w:proofErr w:type="gramStart"/>
      <w:r w:rsidRPr="007035D6">
        <w:rPr>
          <w:shd w:val="clear" w:color="auto" w:fill="FFFFFF"/>
        </w:rPr>
        <w:t>All of</w:t>
      </w:r>
      <w:proofErr w:type="gramEnd"/>
      <w:r w:rsidRPr="007035D6">
        <w:rPr>
          <w:shd w:val="clear" w:color="auto" w:fill="FFFFFF"/>
        </w:rPr>
        <w:t xml:space="preserve"> these changes are prompting financial institutions to rethink how they engage and connect with consumers. By providing personalized, real-time, and consistent communication throughout the customer journey, banks and credit unions can find new ways to engage their customers and members. Just as importantly, financial institutions that respect consumer data, and use it well to improve their experience, stand a better chance of increasing trust and building loyalty. </w:t>
      </w:r>
    </w:p>
    <w:p w14:paraId="37CEC301" w14:textId="77777777" w:rsidR="007035D6" w:rsidRPr="007035D6" w:rsidRDefault="007035D6" w:rsidP="00D75A83">
      <w:pPr>
        <w:pStyle w:val="Body"/>
        <w:rPr>
          <w:shd w:val="clear" w:color="auto" w:fill="FFFFFF"/>
        </w:rPr>
      </w:pPr>
      <w:r w:rsidRPr="007035D6">
        <w:rPr>
          <w:shd w:val="clear" w:color="auto" w:fill="FFFFFF"/>
        </w:rPr>
        <w:t xml:space="preserve">We would like to thank </w:t>
      </w:r>
      <w:r w:rsidRPr="007035D6">
        <w:rPr>
          <w:b/>
          <w:bCs/>
          <w:shd w:val="clear" w:color="auto" w:fill="FFFFFF"/>
        </w:rPr>
        <w:t xml:space="preserve">Harland Clarke </w:t>
      </w:r>
      <w:r w:rsidRPr="007035D6">
        <w:rPr>
          <w:shd w:val="clear" w:color="auto" w:fill="FFFFFF"/>
        </w:rPr>
        <w:t xml:space="preserve">who sponsored this research on digital customer onboarding and engagement. Their partnership enabled us to continue to do the most comprehensive trend analysis in the banking industry. </w:t>
      </w:r>
    </w:p>
    <w:p w14:paraId="44184EB2" w14:textId="53036526" w:rsidR="00C8164A" w:rsidRPr="00834E55" w:rsidRDefault="007035D6" w:rsidP="007035D6">
      <w:pPr>
        <w:spacing w:after="240"/>
        <w:rPr>
          <w:rFonts w:cstheme="minorHAnsi"/>
          <w:color w:val="000000" w:themeColor="text1"/>
        </w:rPr>
      </w:pPr>
      <w:r w:rsidRPr="007035D6">
        <w:rPr>
          <w:rFonts w:cstheme="minorHAnsi"/>
          <w:color w:val="000000" w:themeColor="text1"/>
          <w:shd w:val="clear" w:color="auto" w:fill="FFFFFF"/>
        </w:rPr>
        <w:t xml:space="preserve">This year’s report provides a perspective of where digital engagement in financial services is today and where it may be tomorrow. More importantly, this report provides the foundation for financial executives to create a customer experience </w:t>
      </w:r>
      <w:proofErr w:type="gramStart"/>
      <w:r w:rsidRPr="007035D6">
        <w:rPr>
          <w:rFonts w:cstheme="minorHAnsi"/>
          <w:color w:val="000000" w:themeColor="text1"/>
          <w:shd w:val="clear" w:color="auto" w:fill="FFFFFF"/>
        </w:rPr>
        <w:t>similar to</w:t>
      </w:r>
      <w:proofErr w:type="gramEnd"/>
      <w:r w:rsidRPr="007035D6">
        <w:rPr>
          <w:rFonts w:cstheme="minorHAnsi"/>
          <w:color w:val="000000" w:themeColor="text1"/>
          <w:shd w:val="clear" w:color="auto" w:fill="FFFFFF"/>
        </w:rPr>
        <w:t xml:space="preserve"> what is provided by big tech leaders.</w:t>
      </w:r>
    </w:p>
    <w:sectPr w:rsidR="00C8164A" w:rsidRPr="00834E55" w:rsidSect="00CE0936">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493BB" w14:textId="77777777" w:rsidR="00D90B4B" w:rsidRDefault="00D90B4B" w:rsidP="002A705D">
      <w:r>
        <w:separator/>
      </w:r>
    </w:p>
  </w:endnote>
  <w:endnote w:type="continuationSeparator" w:id="0">
    <w:p w14:paraId="3789778F" w14:textId="77777777" w:rsidR="00D90B4B" w:rsidRDefault="00D90B4B" w:rsidP="002A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Lucida Grande">
    <w:charset w:val="00"/>
    <w:family w:val="auto"/>
    <w:pitch w:val="variable"/>
    <w:sig w:usb0="E1000AEF"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ITC Franklin Gothic Book">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4CAED" w14:textId="77777777" w:rsidR="00D90B4B" w:rsidRDefault="00D90B4B" w:rsidP="002A705D">
      <w:r>
        <w:separator/>
      </w:r>
    </w:p>
  </w:footnote>
  <w:footnote w:type="continuationSeparator" w:id="0">
    <w:p w14:paraId="54606EB0" w14:textId="77777777" w:rsidR="00D90B4B" w:rsidRDefault="00D90B4B" w:rsidP="002A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479F7E"/>
    <w:multiLevelType w:val="hybridMultilevel"/>
    <w:tmpl w:val="DA8F17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7CD68C7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66661BBD"/>
    <w:multiLevelType w:val="hybridMultilevel"/>
    <w:tmpl w:val="909894E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fillcolor="white">
      <v:fill color="white"/>
      <v:textbox inset="0,0,0,0"/>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F5116"/>
    <w:rsid w:val="000341F6"/>
    <w:rsid w:val="0003751D"/>
    <w:rsid w:val="00047CA2"/>
    <w:rsid w:val="00047E4C"/>
    <w:rsid w:val="00056D8B"/>
    <w:rsid w:val="00063015"/>
    <w:rsid w:val="00077C57"/>
    <w:rsid w:val="00096DDA"/>
    <w:rsid w:val="000A4831"/>
    <w:rsid w:val="000B3EDE"/>
    <w:rsid w:val="000E3220"/>
    <w:rsid w:val="000E4B83"/>
    <w:rsid w:val="000F0DAB"/>
    <w:rsid w:val="001033F6"/>
    <w:rsid w:val="00113C9B"/>
    <w:rsid w:val="001378EB"/>
    <w:rsid w:val="00165D69"/>
    <w:rsid w:val="00182D4B"/>
    <w:rsid w:val="0018489E"/>
    <w:rsid w:val="001947DE"/>
    <w:rsid w:val="0019555C"/>
    <w:rsid w:val="0019771D"/>
    <w:rsid w:val="001B4849"/>
    <w:rsid w:val="001C1E71"/>
    <w:rsid w:val="001E087E"/>
    <w:rsid w:val="001F2CD8"/>
    <w:rsid w:val="001F440C"/>
    <w:rsid w:val="00201116"/>
    <w:rsid w:val="00223E5A"/>
    <w:rsid w:val="00243CFE"/>
    <w:rsid w:val="00247C15"/>
    <w:rsid w:val="0028090D"/>
    <w:rsid w:val="002937BB"/>
    <w:rsid w:val="002A26FC"/>
    <w:rsid w:val="002A676F"/>
    <w:rsid w:val="002A705D"/>
    <w:rsid w:val="002B545A"/>
    <w:rsid w:val="002C0268"/>
    <w:rsid w:val="002D4FF9"/>
    <w:rsid w:val="002E23C9"/>
    <w:rsid w:val="002F15FA"/>
    <w:rsid w:val="002F2B57"/>
    <w:rsid w:val="00313149"/>
    <w:rsid w:val="0032778D"/>
    <w:rsid w:val="00330CC5"/>
    <w:rsid w:val="00337796"/>
    <w:rsid w:val="00370D26"/>
    <w:rsid w:val="003801AC"/>
    <w:rsid w:val="003843EA"/>
    <w:rsid w:val="003B6C12"/>
    <w:rsid w:val="003D7128"/>
    <w:rsid w:val="003E4248"/>
    <w:rsid w:val="003F2F4B"/>
    <w:rsid w:val="00410DAA"/>
    <w:rsid w:val="00416508"/>
    <w:rsid w:val="00420476"/>
    <w:rsid w:val="00446932"/>
    <w:rsid w:val="0046473C"/>
    <w:rsid w:val="00470321"/>
    <w:rsid w:val="004749A5"/>
    <w:rsid w:val="004849DF"/>
    <w:rsid w:val="00491582"/>
    <w:rsid w:val="0049516B"/>
    <w:rsid w:val="004D0298"/>
    <w:rsid w:val="004D6851"/>
    <w:rsid w:val="004E0ABF"/>
    <w:rsid w:val="004F1A83"/>
    <w:rsid w:val="004F5116"/>
    <w:rsid w:val="004F52D2"/>
    <w:rsid w:val="004F7B66"/>
    <w:rsid w:val="00525DDE"/>
    <w:rsid w:val="0052667A"/>
    <w:rsid w:val="005375C4"/>
    <w:rsid w:val="00557A9E"/>
    <w:rsid w:val="00565431"/>
    <w:rsid w:val="005659A7"/>
    <w:rsid w:val="00580D40"/>
    <w:rsid w:val="00581118"/>
    <w:rsid w:val="00581493"/>
    <w:rsid w:val="00592CD7"/>
    <w:rsid w:val="005B777B"/>
    <w:rsid w:val="005C1256"/>
    <w:rsid w:val="005D601C"/>
    <w:rsid w:val="005D7A04"/>
    <w:rsid w:val="005E49CC"/>
    <w:rsid w:val="005F4B82"/>
    <w:rsid w:val="00603A1D"/>
    <w:rsid w:val="00607160"/>
    <w:rsid w:val="006148AA"/>
    <w:rsid w:val="00614BC0"/>
    <w:rsid w:val="00631C41"/>
    <w:rsid w:val="00637787"/>
    <w:rsid w:val="00647181"/>
    <w:rsid w:val="00657DB2"/>
    <w:rsid w:val="006A2EC3"/>
    <w:rsid w:val="006C6EB1"/>
    <w:rsid w:val="006C746A"/>
    <w:rsid w:val="006D6E73"/>
    <w:rsid w:val="006F01E4"/>
    <w:rsid w:val="006F1C00"/>
    <w:rsid w:val="006F5563"/>
    <w:rsid w:val="007035D6"/>
    <w:rsid w:val="007037ED"/>
    <w:rsid w:val="007047E3"/>
    <w:rsid w:val="00714EDF"/>
    <w:rsid w:val="00726A4C"/>
    <w:rsid w:val="0073293F"/>
    <w:rsid w:val="00743793"/>
    <w:rsid w:val="00754210"/>
    <w:rsid w:val="00762F44"/>
    <w:rsid w:val="007A7627"/>
    <w:rsid w:val="007B0DC6"/>
    <w:rsid w:val="007C2908"/>
    <w:rsid w:val="007D58D0"/>
    <w:rsid w:val="007D7F82"/>
    <w:rsid w:val="007E289C"/>
    <w:rsid w:val="007E4FD5"/>
    <w:rsid w:val="0080383C"/>
    <w:rsid w:val="00810857"/>
    <w:rsid w:val="0081174B"/>
    <w:rsid w:val="00831F9B"/>
    <w:rsid w:val="00840A9D"/>
    <w:rsid w:val="00844DD3"/>
    <w:rsid w:val="00853377"/>
    <w:rsid w:val="00864415"/>
    <w:rsid w:val="00875CE0"/>
    <w:rsid w:val="008873FA"/>
    <w:rsid w:val="00895381"/>
    <w:rsid w:val="00895B7D"/>
    <w:rsid w:val="00897EE6"/>
    <w:rsid w:val="008A1B05"/>
    <w:rsid w:val="008A37A9"/>
    <w:rsid w:val="008A7E58"/>
    <w:rsid w:val="008B2729"/>
    <w:rsid w:val="008C3112"/>
    <w:rsid w:val="008C4DD9"/>
    <w:rsid w:val="008D05E1"/>
    <w:rsid w:val="008D27C2"/>
    <w:rsid w:val="008E3969"/>
    <w:rsid w:val="008E618B"/>
    <w:rsid w:val="008E6619"/>
    <w:rsid w:val="00922DAC"/>
    <w:rsid w:val="00927DF2"/>
    <w:rsid w:val="0094370E"/>
    <w:rsid w:val="009454CE"/>
    <w:rsid w:val="009671FD"/>
    <w:rsid w:val="00971AE2"/>
    <w:rsid w:val="00971BA4"/>
    <w:rsid w:val="009914B9"/>
    <w:rsid w:val="00993797"/>
    <w:rsid w:val="009B028B"/>
    <w:rsid w:val="009C4AD0"/>
    <w:rsid w:val="009D662D"/>
    <w:rsid w:val="009E412F"/>
    <w:rsid w:val="00A03AB1"/>
    <w:rsid w:val="00A0625D"/>
    <w:rsid w:val="00A26E1B"/>
    <w:rsid w:val="00A3086D"/>
    <w:rsid w:val="00A44BD1"/>
    <w:rsid w:val="00A645F7"/>
    <w:rsid w:val="00A77421"/>
    <w:rsid w:val="00A819C5"/>
    <w:rsid w:val="00AA5852"/>
    <w:rsid w:val="00AB5958"/>
    <w:rsid w:val="00AC7F40"/>
    <w:rsid w:val="00AD2037"/>
    <w:rsid w:val="00AE0E0B"/>
    <w:rsid w:val="00AE4A10"/>
    <w:rsid w:val="00B13C74"/>
    <w:rsid w:val="00B41B5A"/>
    <w:rsid w:val="00B53A68"/>
    <w:rsid w:val="00B72E67"/>
    <w:rsid w:val="00BB71B8"/>
    <w:rsid w:val="00BC3ED7"/>
    <w:rsid w:val="00BD19A3"/>
    <w:rsid w:val="00BE3C92"/>
    <w:rsid w:val="00BE4576"/>
    <w:rsid w:val="00BF30F7"/>
    <w:rsid w:val="00C003D1"/>
    <w:rsid w:val="00C25845"/>
    <w:rsid w:val="00C34B7F"/>
    <w:rsid w:val="00C429EE"/>
    <w:rsid w:val="00C4626C"/>
    <w:rsid w:val="00C50970"/>
    <w:rsid w:val="00C51FB7"/>
    <w:rsid w:val="00C538AB"/>
    <w:rsid w:val="00C65034"/>
    <w:rsid w:val="00C73AAF"/>
    <w:rsid w:val="00C8164A"/>
    <w:rsid w:val="00C926A4"/>
    <w:rsid w:val="00C95A1F"/>
    <w:rsid w:val="00CB2F70"/>
    <w:rsid w:val="00CE0552"/>
    <w:rsid w:val="00CE0936"/>
    <w:rsid w:val="00CE6AC1"/>
    <w:rsid w:val="00D17165"/>
    <w:rsid w:val="00D2670A"/>
    <w:rsid w:val="00D30F7D"/>
    <w:rsid w:val="00D54C33"/>
    <w:rsid w:val="00D628B1"/>
    <w:rsid w:val="00D63373"/>
    <w:rsid w:val="00D75A83"/>
    <w:rsid w:val="00D90B4B"/>
    <w:rsid w:val="00D96DA4"/>
    <w:rsid w:val="00DA65AA"/>
    <w:rsid w:val="00DB4823"/>
    <w:rsid w:val="00DB5FC0"/>
    <w:rsid w:val="00DB6C9E"/>
    <w:rsid w:val="00DD34F7"/>
    <w:rsid w:val="00DF3F17"/>
    <w:rsid w:val="00E02C6F"/>
    <w:rsid w:val="00E04476"/>
    <w:rsid w:val="00E13348"/>
    <w:rsid w:val="00E671F5"/>
    <w:rsid w:val="00E71759"/>
    <w:rsid w:val="00E71D25"/>
    <w:rsid w:val="00E97560"/>
    <w:rsid w:val="00EB61D3"/>
    <w:rsid w:val="00ED18DA"/>
    <w:rsid w:val="00ED7690"/>
    <w:rsid w:val="00EE2B91"/>
    <w:rsid w:val="00EE5771"/>
    <w:rsid w:val="00EF10FB"/>
    <w:rsid w:val="00F26B4B"/>
    <w:rsid w:val="00F2728A"/>
    <w:rsid w:val="00F438D9"/>
    <w:rsid w:val="00F73545"/>
    <w:rsid w:val="00F82D54"/>
    <w:rsid w:val="00F83F05"/>
    <w:rsid w:val="00F94E92"/>
    <w:rsid w:val="00FB3FE4"/>
    <w:rsid w:val="00FB5F6F"/>
    <w:rsid w:val="00FC6DC2"/>
    <w:rsid w:val="00FD05A4"/>
    <w:rsid w:val="00FF3194"/>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v:textbox inset="0,0,0,0"/>
    </o:shapedefaults>
    <o:shapelayout v:ext="edit">
      <o:idmap v:ext="edit" data="1"/>
    </o:shapelayout>
  </w:shapeDefaults>
  <w:decimalSymbol w:val="."/>
  <w:listSeparator w:val=","/>
  <w14:docId w14:val="6491006D"/>
  <w15:docId w15:val="{B6E8F293-5CA1-4D57-BF59-7FFE77A9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5D6"/>
    <w:rPr>
      <w:rFonts w:ascii="Open Sans" w:hAnsi="Open Sans"/>
      <w:sz w:val="20"/>
      <w:szCs w:val="22"/>
    </w:rPr>
  </w:style>
  <w:style w:type="paragraph" w:styleId="Heading2">
    <w:name w:val="heading 2"/>
    <w:basedOn w:val="Normal"/>
    <w:next w:val="Normal"/>
    <w:link w:val="Heading2Char"/>
    <w:uiPriority w:val="9"/>
    <w:unhideWhenUsed/>
    <w:qFormat/>
    <w:rsid w:val="008A1B05"/>
    <w:pPr>
      <w:spacing w:before="120"/>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16"/>
    <w:pPr>
      <w:tabs>
        <w:tab w:val="center" w:pos="4320"/>
        <w:tab w:val="right" w:pos="8640"/>
      </w:tabs>
    </w:pPr>
  </w:style>
  <w:style w:type="character" w:customStyle="1" w:styleId="HeaderChar">
    <w:name w:val="Header Char"/>
    <w:basedOn w:val="DefaultParagraphFont"/>
    <w:link w:val="Header"/>
    <w:uiPriority w:val="99"/>
    <w:rsid w:val="004F5116"/>
  </w:style>
  <w:style w:type="paragraph" w:styleId="Footer">
    <w:name w:val="footer"/>
    <w:basedOn w:val="Normal"/>
    <w:link w:val="FooterChar"/>
    <w:uiPriority w:val="99"/>
    <w:unhideWhenUsed/>
    <w:rsid w:val="004F5116"/>
    <w:pPr>
      <w:tabs>
        <w:tab w:val="center" w:pos="4320"/>
        <w:tab w:val="right" w:pos="8640"/>
      </w:tabs>
    </w:pPr>
  </w:style>
  <w:style w:type="character" w:customStyle="1" w:styleId="FooterChar">
    <w:name w:val="Footer Char"/>
    <w:basedOn w:val="DefaultParagraphFont"/>
    <w:link w:val="Footer"/>
    <w:uiPriority w:val="99"/>
    <w:rsid w:val="004F5116"/>
  </w:style>
  <w:style w:type="paragraph" w:styleId="BalloonText">
    <w:name w:val="Balloon Text"/>
    <w:basedOn w:val="Normal"/>
    <w:link w:val="BalloonTextChar"/>
    <w:uiPriority w:val="99"/>
    <w:semiHidden/>
    <w:unhideWhenUsed/>
    <w:rsid w:val="004F51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5116"/>
    <w:rPr>
      <w:rFonts w:ascii="Lucida Grande" w:hAnsi="Lucida Grande" w:cs="Lucida Grande"/>
      <w:sz w:val="18"/>
      <w:szCs w:val="18"/>
    </w:rPr>
  </w:style>
  <w:style w:type="character" w:styleId="Hyperlink">
    <w:name w:val="Hyperlink"/>
    <w:uiPriority w:val="99"/>
    <w:unhideWhenUsed/>
    <w:rsid w:val="004749A5"/>
    <w:rPr>
      <w:color w:val="C00000"/>
    </w:rPr>
  </w:style>
  <w:style w:type="character" w:customStyle="1" w:styleId="Heading2Char">
    <w:name w:val="Heading 2 Char"/>
    <w:basedOn w:val="DefaultParagraphFont"/>
    <w:link w:val="Heading2"/>
    <w:uiPriority w:val="9"/>
    <w:rsid w:val="008A1B05"/>
    <w:rPr>
      <w:rFonts w:ascii="Franklin Gothic Book" w:hAnsi="Franklin Gothic Book"/>
      <w:b/>
      <w:sz w:val="22"/>
      <w:szCs w:val="22"/>
    </w:rPr>
  </w:style>
  <w:style w:type="character" w:styleId="FollowedHyperlink">
    <w:name w:val="FollowedHyperlink"/>
    <w:basedOn w:val="DefaultParagraphFont"/>
    <w:uiPriority w:val="99"/>
    <w:semiHidden/>
    <w:unhideWhenUsed/>
    <w:rsid w:val="00840A9D"/>
    <w:rPr>
      <w:color w:val="800080" w:themeColor="followedHyperlink"/>
      <w:u w:val="single"/>
    </w:rPr>
  </w:style>
  <w:style w:type="character" w:customStyle="1" w:styleId="A2">
    <w:name w:val="A2"/>
    <w:uiPriority w:val="99"/>
    <w:rsid w:val="00810857"/>
    <w:rPr>
      <w:rFonts w:cs="ITC Franklin Gothic Book"/>
      <w:color w:val="BA0000"/>
      <w:sz w:val="20"/>
      <w:szCs w:val="20"/>
    </w:rPr>
  </w:style>
  <w:style w:type="paragraph" w:customStyle="1" w:styleId="Body">
    <w:name w:val="Body"/>
    <w:basedOn w:val="Normal"/>
    <w:qFormat/>
    <w:rsid w:val="00581118"/>
    <w:pPr>
      <w:widowControl w:val="0"/>
      <w:autoSpaceDE w:val="0"/>
      <w:autoSpaceDN w:val="0"/>
      <w:adjustRightInd w:val="0"/>
      <w:spacing w:after="60" w:line="240" w:lineRule="exact"/>
    </w:pPr>
    <w:rPr>
      <w:rFonts w:cs="Arial"/>
      <w:color w:val="171717"/>
    </w:rPr>
  </w:style>
  <w:style w:type="character" w:customStyle="1" w:styleId="Mention1">
    <w:name w:val="Mention1"/>
    <w:basedOn w:val="DefaultParagraphFont"/>
    <w:uiPriority w:val="99"/>
    <w:semiHidden/>
    <w:unhideWhenUsed/>
    <w:rsid w:val="00247C15"/>
    <w:rPr>
      <w:color w:val="2B579A"/>
      <w:shd w:val="clear" w:color="auto" w:fill="E6E6E6"/>
    </w:rPr>
  </w:style>
  <w:style w:type="paragraph" w:customStyle="1" w:styleId="p1">
    <w:name w:val="p1"/>
    <w:basedOn w:val="Normal"/>
    <w:rsid w:val="00247C15"/>
    <w:rPr>
      <w:rFonts w:ascii="Helvetica" w:eastAsiaTheme="minorHAnsi" w:hAnsi="Helvetica" w:cs="Times New Roman"/>
      <w:color w:val="696969"/>
      <w:sz w:val="15"/>
      <w:szCs w:val="15"/>
    </w:rPr>
  </w:style>
  <w:style w:type="character" w:customStyle="1" w:styleId="UnresolvedMention1">
    <w:name w:val="Unresolved Mention1"/>
    <w:basedOn w:val="DefaultParagraphFont"/>
    <w:uiPriority w:val="99"/>
    <w:semiHidden/>
    <w:unhideWhenUsed/>
    <w:rsid w:val="0032778D"/>
    <w:rPr>
      <w:color w:val="808080"/>
      <w:shd w:val="clear" w:color="auto" w:fill="E6E6E6"/>
    </w:rPr>
  </w:style>
  <w:style w:type="character" w:styleId="UnresolvedMention">
    <w:name w:val="Unresolved Mention"/>
    <w:basedOn w:val="DefaultParagraphFont"/>
    <w:uiPriority w:val="99"/>
    <w:semiHidden/>
    <w:unhideWhenUsed/>
    <w:rsid w:val="00603A1D"/>
    <w:rPr>
      <w:color w:val="808080"/>
      <w:shd w:val="clear" w:color="auto" w:fill="E6E6E6"/>
    </w:rPr>
  </w:style>
  <w:style w:type="paragraph" w:customStyle="1" w:styleId="Pa7">
    <w:name w:val="Pa7"/>
    <w:basedOn w:val="Normal"/>
    <w:next w:val="Normal"/>
    <w:uiPriority w:val="99"/>
    <w:rsid w:val="00FB3FE4"/>
    <w:pPr>
      <w:autoSpaceDE w:val="0"/>
      <w:autoSpaceDN w:val="0"/>
      <w:adjustRightInd w:val="0"/>
      <w:spacing w:line="201" w:lineRule="atLeast"/>
    </w:pPr>
    <w:rPr>
      <w:rFonts w:ascii="ITC Franklin Gothic Book" w:eastAsiaTheme="minorHAnsi" w:hAnsi="ITC Franklin Gothic Book"/>
      <w:sz w:val="24"/>
      <w:szCs w:val="24"/>
    </w:rPr>
  </w:style>
  <w:style w:type="paragraph" w:styleId="NormalWeb">
    <w:name w:val="Normal (Web)"/>
    <w:basedOn w:val="Normal"/>
    <w:uiPriority w:val="99"/>
    <w:unhideWhenUsed/>
    <w:rsid w:val="003843EA"/>
    <w:pPr>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3843EA"/>
  </w:style>
  <w:style w:type="character" w:styleId="Strong">
    <w:name w:val="Strong"/>
    <w:basedOn w:val="DefaultParagraphFont"/>
    <w:uiPriority w:val="22"/>
    <w:qFormat/>
    <w:rsid w:val="009E412F"/>
    <w:rPr>
      <w:b/>
      <w:bCs/>
    </w:rPr>
  </w:style>
  <w:style w:type="paragraph" w:styleId="NoSpacing">
    <w:name w:val="No Spacing"/>
    <w:uiPriority w:val="1"/>
    <w:qFormat/>
    <w:rsid w:val="00D75A83"/>
    <w:rPr>
      <w:rFonts w:ascii="Open Sans" w:hAnsi="Open Sans"/>
      <w:sz w:val="20"/>
      <w:szCs w:val="22"/>
    </w:rPr>
  </w:style>
  <w:style w:type="paragraph" w:styleId="ListBullet">
    <w:name w:val="List Bullet"/>
    <w:basedOn w:val="Normal"/>
    <w:uiPriority w:val="99"/>
    <w:rsid w:val="00D75A83"/>
    <w:pPr>
      <w:numPr>
        <w:numId w:val="3"/>
      </w:numPr>
      <w:ind w:left="648"/>
      <w:contextualSpacing/>
    </w:pPr>
    <w:rPr>
      <w:shd w:val="clear" w:color="auto" w:fill="FFFFFF"/>
    </w:rPr>
  </w:style>
  <w:style w:type="paragraph" w:styleId="List">
    <w:name w:val="List"/>
    <w:basedOn w:val="Normal"/>
    <w:uiPriority w:val="99"/>
    <w:rsid w:val="007035D6"/>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005">
      <w:bodyDiv w:val="1"/>
      <w:marLeft w:val="0"/>
      <w:marRight w:val="0"/>
      <w:marTop w:val="0"/>
      <w:marBottom w:val="0"/>
      <w:divBdr>
        <w:top w:val="none" w:sz="0" w:space="0" w:color="auto"/>
        <w:left w:val="none" w:sz="0" w:space="0" w:color="auto"/>
        <w:bottom w:val="none" w:sz="0" w:space="0" w:color="auto"/>
        <w:right w:val="none" w:sz="0" w:space="0" w:color="auto"/>
      </w:divBdr>
    </w:div>
    <w:div w:id="600844014">
      <w:bodyDiv w:val="1"/>
      <w:marLeft w:val="0"/>
      <w:marRight w:val="0"/>
      <w:marTop w:val="0"/>
      <w:marBottom w:val="0"/>
      <w:divBdr>
        <w:top w:val="none" w:sz="0" w:space="0" w:color="auto"/>
        <w:left w:val="none" w:sz="0" w:space="0" w:color="auto"/>
        <w:bottom w:val="none" w:sz="0" w:space="0" w:color="auto"/>
        <w:right w:val="none" w:sz="0" w:space="0" w:color="auto"/>
      </w:divBdr>
    </w:div>
    <w:div w:id="915937933">
      <w:bodyDiv w:val="1"/>
      <w:marLeft w:val="0"/>
      <w:marRight w:val="0"/>
      <w:marTop w:val="0"/>
      <w:marBottom w:val="0"/>
      <w:divBdr>
        <w:top w:val="none" w:sz="0" w:space="0" w:color="auto"/>
        <w:left w:val="none" w:sz="0" w:space="0" w:color="auto"/>
        <w:bottom w:val="none" w:sz="0" w:space="0" w:color="auto"/>
        <w:right w:val="none" w:sz="0" w:space="0" w:color="auto"/>
      </w:divBdr>
    </w:div>
    <w:div w:id="1082484503">
      <w:bodyDiv w:val="1"/>
      <w:marLeft w:val="0"/>
      <w:marRight w:val="0"/>
      <w:marTop w:val="0"/>
      <w:marBottom w:val="0"/>
      <w:divBdr>
        <w:top w:val="none" w:sz="0" w:space="0" w:color="auto"/>
        <w:left w:val="none" w:sz="0" w:space="0" w:color="auto"/>
        <w:bottom w:val="none" w:sz="0" w:space="0" w:color="auto"/>
        <w:right w:val="none" w:sz="0" w:space="0" w:color="auto"/>
      </w:divBdr>
    </w:div>
    <w:div w:id="1200817798">
      <w:bodyDiv w:val="1"/>
      <w:marLeft w:val="0"/>
      <w:marRight w:val="0"/>
      <w:marTop w:val="0"/>
      <w:marBottom w:val="0"/>
      <w:divBdr>
        <w:top w:val="none" w:sz="0" w:space="0" w:color="auto"/>
        <w:left w:val="none" w:sz="0" w:space="0" w:color="auto"/>
        <w:bottom w:val="none" w:sz="0" w:space="0" w:color="auto"/>
        <w:right w:val="none" w:sz="0" w:space="0" w:color="auto"/>
      </w:divBdr>
    </w:div>
    <w:div w:id="1386639729">
      <w:bodyDiv w:val="1"/>
      <w:marLeft w:val="0"/>
      <w:marRight w:val="0"/>
      <w:marTop w:val="0"/>
      <w:marBottom w:val="0"/>
      <w:divBdr>
        <w:top w:val="none" w:sz="0" w:space="0" w:color="auto"/>
        <w:left w:val="none" w:sz="0" w:space="0" w:color="auto"/>
        <w:bottom w:val="none" w:sz="0" w:space="0" w:color="auto"/>
        <w:right w:val="none" w:sz="0" w:space="0" w:color="auto"/>
      </w:divBdr>
    </w:div>
    <w:div w:id="1594968800">
      <w:bodyDiv w:val="1"/>
      <w:marLeft w:val="0"/>
      <w:marRight w:val="0"/>
      <w:marTop w:val="0"/>
      <w:marBottom w:val="0"/>
      <w:divBdr>
        <w:top w:val="none" w:sz="0" w:space="0" w:color="auto"/>
        <w:left w:val="none" w:sz="0" w:space="0" w:color="auto"/>
        <w:bottom w:val="none" w:sz="0" w:space="0" w:color="auto"/>
        <w:right w:val="none" w:sz="0" w:space="0" w:color="auto"/>
      </w:divBdr>
    </w:div>
    <w:div w:id="1676032256">
      <w:bodyDiv w:val="1"/>
      <w:marLeft w:val="0"/>
      <w:marRight w:val="0"/>
      <w:marTop w:val="0"/>
      <w:marBottom w:val="0"/>
      <w:divBdr>
        <w:top w:val="none" w:sz="0" w:space="0" w:color="auto"/>
        <w:left w:val="none" w:sz="0" w:space="0" w:color="auto"/>
        <w:bottom w:val="none" w:sz="0" w:space="0" w:color="auto"/>
        <w:right w:val="none" w:sz="0" w:space="0" w:color="auto"/>
      </w:divBdr>
    </w:div>
    <w:div w:id="1911500969">
      <w:bodyDiv w:val="1"/>
      <w:marLeft w:val="0"/>
      <w:marRight w:val="0"/>
      <w:marTop w:val="0"/>
      <w:marBottom w:val="0"/>
      <w:divBdr>
        <w:top w:val="none" w:sz="0" w:space="0" w:color="auto"/>
        <w:left w:val="none" w:sz="0" w:space="0" w:color="auto"/>
        <w:bottom w:val="none" w:sz="0" w:space="0" w:color="auto"/>
        <w:right w:val="none" w:sz="0" w:space="0" w:color="auto"/>
      </w:divBdr>
    </w:div>
    <w:div w:id="1929923276">
      <w:bodyDiv w:val="1"/>
      <w:marLeft w:val="0"/>
      <w:marRight w:val="0"/>
      <w:marTop w:val="0"/>
      <w:marBottom w:val="0"/>
      <w:divBdr>
        <w:top w:val="none" w:sz="0" w:space="0" w:color="auto"/>
        <w:left w:val="none" w:sz="0" w:space="0" w:color="auto"/>
        <w:bottom w:val="none" w:sz="0" w:space="0" w:color="auto"/>
        <w:right w:val="none" w:sz="0" w:space="0" w:color="auto"/>
      </w:divBdr>
    </w:div>
    <w:div w:id="2020352542">
      <w:bodyDiv w:val="1"/>
      <w:marLeft w:val="0"/>
      <w:marRight w:val="0"/>
      <w:marTop w:val="0"/>
      <w:marBottom w:val="0"/>
      <w:divBdr>
        <w:top w:val="none" w:sz="0" w:space="0" w:color="auto"/>
        <w:left w:val="none" w:sz="0" w:space="0" w:color="auto"/>
        <w:bottom w:val="none" w:sz="0" w:space="0" w:color="auto"/>
        <w:right w:val="none" w:sz="0" w:space="0" w:color="auto"/>
      </w:divBdr>
    </w:div>
    <w:div w:id="2073767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digitalbankingreport.com?subject=DBR%20232%20Inqui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in/jimmar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bx.kon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9389-F5BF-43DD-9151-E5568BFBB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Financial Brand</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Marous</dc:creator>
  <cp:lastModifiedBy>Jim Booth</cp:lastModifiedBy>
  <cp:revision>4</cp:revision>
  <cp:lastPrinted>2019-04-15T00:34:00Z</cp:lastPrinted>
  <dcterms:created xsi:type="dcterms:W3CDTF">2019-08-11T17:50:00Z</dcterms:created>
  <dcterms:modified xsi:type="dcterms:W3CDTF">2019-08-11T18:21:00Z</dcterms:modified>
</cp:coreProperties>
</file>